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116759-21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выполнения малоинвацивных вмешательств</w:t>
      </w:r>
    </w:p>
    <w:p w:rsidR="007C3BF1" w:rsidRDefault="008C2287">
      <w:pPr>
        <w:ind w:left="1418"/>
      </w:pPr>
      <w:r>
        <w:t xml:space="preserve">Цена </w:t>
      </w:r>
      <w:r>
        <w:t>договора</w:t>
      </w:r>
      <w:r>
        <w:t xml:space="preserve">, руб.: </w:t>
      </w:r>
      <w:r>
        <w:t>840 217,30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01.21.01.02.56.982</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Мочеточниковая оболочка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расходных материалов для выполнения малоинвазивных вмешательств</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расходных материалов для выполнения малоинвазивных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