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01.71.04.01.01.01.08.06.02</w:t>
            </w:r>
            <w:r w:rsidR="00B924CB">
              <w:rPr>
                <w:b/>
              </w:rPr>
              <w:t xml:space="preserve"> / </w:t>
            </w:r>
            <w:r w:rsidR="00B924CB">
              <w:t>31.01.12.190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Боковая демонстрационная панель</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01.05.01.21.05</w:t>
            </w:r>
            <w:r w:rsidR="00B924CB">
              <w:rPr>
                <w:b/>
              </w:rPr>
              <w:t xml:space="preserve"> / </w:t>
            </w:r>
            <w:r w:rsidR="00B924CB">
              <w:t>31.01.11.150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Кресло офисное</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01.71.04.01.01.01.02</w:t>
            </w:r>
            <w:r w:rsidR="00B924CB">
              <w:rPr>
                <w:b/>
              </w:rPr>
              <w:t xml:space="preserve"> / </w:t>
            </w:r>
            <w:r w:rsidR="00B924CB">
              <w:t>31.01.12.110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Стол письменный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01.05.01.21.02</w:t>
            </w:r>
            <w:r w:rsidR="00B924CB">
              <w:rPr>
                <w:b/>
              </w:rPr>
              <w:t xml:space="preserve"> / </w:t>
            </w:r>
            <w:r w:rsidR="00B924CB">
              <w:t>31.01.11.150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Стул офисный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01.71.04.01.01.01.08.04.02</w:t>
            </w:r>
            <w:r w:rsidR="00B924CB">
              <w:rPr>
                <w:b/>
              </w:rPr>
              <w:t xml:space="preserve"> / </w:t>
            </w:r>
            <w:r w:rsidR="00B924CB">
              <w:t>31.01.12.150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Тумба офисная деревянная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01.71.04.01.01.01.08.04.02</w:t>
            </w:r>
            <w:r w:rsidR="00B924CB">
              <w:rPr>
                <w:b/>
              </w:rPr>
              <w:t xml:space="preserve"> / </w:t>
            </w:r>
            <w:r w:rsidR="00B924CB">
              <w:t>31.01.12.150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Тумба офисная деревянная</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01.71.04.01.01.01.08.03.01.01</w:t>
            </w:r>
            <w:r w:rsidR="00B924CB">
              <w:rPr>
                <w:b/>
              </w:rPr>
              <w:t xml:space="preserve"> / </w:t>
            </w:r>
            <w:r w:rsidR="00B924CB">
              <w:t>31.01.12.139</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Шкаф деревянный для документов</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01.05.01.24.09</w:t>
            </w:r>
            <w:r w:rsidR="00B924CB">
              <w:rPr>
                <w:b/>
              </w:rPr>
              <w:t xml:space="preserve"> / </w:t>
            </w:r>
            <w:r w:rsidR="00B924CB">
              <w:t>31.01.12.139</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Шкаф для документов</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01.05.01.24.09</w:t>
            </w:r>
            <w:r w:rsidR="00B924CB">
              <w:rPr>
                <w:b/>
              </w:rPr>
              <w:t xml:space="preserve"> / </w:t>
            </w:r>
            <w:r w:rsidR="00B924CB">
              <w:t>31.01.12.139</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Шкаф для документов</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01.05.01.24.10</w:t>
            </w:r>
            <w:r w:rsidR="00B924CB">
              <w:rPr>
                <w:b/>
              </w:rPr>
              <w:t xml:space="preserve"> / </w:t>
            </w:r>
            <w:r w:rsidR="00B924CB">
              <w:t>31.01.12.131</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Шкаф для одежды</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АО "Новое решение"</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А. Есипов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мебели</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Боковая демонстрационная панель</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Кресло офисное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Стол письменный</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Стул офисный</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Тумба офисная деревянная</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Тумба офисная деревянная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Шкаф деревянный для документов</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Шкаф для документов</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Шкаф для документов</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Шкаф для одежды</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31.12.2021 (МСК)</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30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мебели)</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АО "Новое решение"</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А. Есипов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мебели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мебели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мебели</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АО "Новое решение"</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А. Есипов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АО "Новое решение"</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А. Есипов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114305-21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