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01.21.01.06.06.387</w:t>
            </w:r>
            <w:r w:rsidR="00B924CB">
              <w:rPr>
                <w:b/>
              </w:rPr>
              <w:t xml:space="preserve"> / </w:t>
            </w:r>
            <w:r w:rsidR="00B924CB">
              <w:t>21.20.24.132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Бинт гипсовый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01.21.01.06.06.387</w:t>
            </w:r>
            <w:r w:rsidR="00B924CB">
              <w:rPr>
                <w:b/>
              </w:rPr>
              <w:t xml:space="preserve"> / </w:t>
            </w:r>
            <w:r w:rsidR="00B924CB">
              <w:t>21.20.24.132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Бинт гипсовый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01.21.01.06.06.387</w:t>
            </w:r>
            <w:r w:rsidR="00B924CB">
              <w:rPr>
                <w:b/>
              </w:rPr>
              <w:t xml:space="preserve"> / </w:t>
            </w:r>
            <w:r w:rsidR="00B924CB">
              <w:t>21.20.24.132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Бинт гипсовый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01.21.01.02.56.1046.01</w:t>
            </w:r>
            <w:r w:rsidR="00B924CB">
              <w:rPr>
                <w:b/>
              </w:rPr>
              <w:t xml:space="preserve"> / </w:t>
            </w:r>
            <w:r w:rsidR="00B924CB">
              <w:t>21.20.24.150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Вата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1 743,00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01.21.01.06.06.114</w:t>
            </w:r>
            <w:r w:rsidR="00B924CB">
              <w:rPr>
                <w:b/>
              </w:rPr>
              <w:t xml:space="preserve"> / </w:t>
            </w:r>
            <w:r w:rsidR="00B924CB">
              <w:t>21.20.24.131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Марлевый бинт, стерильный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01.21.01.06.06.114</w:t>
            </w:r>
            <w:r w:rsidR="00B924CB">
              <w:rPr>
                <w:b/>
              </w:rPr>
              <w:t xml:space="preserve"> / </w:t>
            </w:r>
            <w:r w:rsidR="00B924CB">
              <w:t>21.20.24.131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Марлевый бинт, стерильный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513,00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01.21.01.06.06.114</w:t>
            </w:r>
            <w:r w:rsidR="00B924CB">
              <w:rPr>
                <w:b/>
              </w:rPr>
              <w:t xml:space="preserve"> / </w:t>
            </w:r>
            <w:r w:rsidR="00B924CB">
              <w:t>21.20.24.131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Марлевый бинт, стерильный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01.21.01.06.06.388.01</w:t>
            </w:r>
            <w:r w:rsidR="00B924CB">
              <w:rPr>
                <w:b/>
              </w:rPr>
              <w:t xml:space="preserve"> / </w:t>
            </w:r>
            <w:r w:rsidR="00B924CB">
              <w:t>21.20.24.131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Марля медицинская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16 600,00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Метр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01.21.01.06.06.388.01</w:t>
            </w:r>
            <w:r w:rsidR="00B924CB">
              <w:rPr>
                <w:b/>
              </w:rPr>
              <w:t xml:space="preserve"> / </w:t>
            </w:r>
            <w:r w:rsidR="00B924CB">
              <w:t>21.20.24.131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Марля медицинская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Рулон</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01.21.01.06.06.388.01</w:t>
            </w:r>
            <w:r w:rsidR="00B924CB">
              <w:rPr>
                <w:b/>
              </w:rPr>
              <w:t xml:space="preserve"> / </w:t>
            </w:r>
            <w:r w:rsidR="00B924CB">
              <w:t>21.20.24.131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Марля медицинская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Рулон</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01.21.01.06.06.388.01</w:t>
            </w:r>
            <w:r w:rsidR="00B924CB">
              <w:rPr>
                <w:b/>
              </w:rPr>
              <w:t xml:space="preserve"> / </w:t>
            </w:r>
            <w:r w:rsidR="00B924CB">
              <w:t>21.20.24.131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Марля медицинская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Рулон</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01.21.01.06.06.388.01</w:t>
            </w:r>
            <w:r w:rsidR="00B924CB">
              <w:rPr>
                <w:b/>
              </w:rPr>
              <w:t xml:space="preserve"> / </w:t>
            </w:r>
            <w:r w:rsidR="00B924CB">
              <w:t>21.20.24.131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Марля медицинская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Рулон</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01.21.01.13.07.250</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Полупроницаемая повязка из синтетического полимера, адгезивная, нестерильная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01.21.01.13.07.250</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Полупроницаемая повязка из синтетического полимера, адгезивная, нестерильная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01.21.01.06.06.113</w:t>
            </w:r>
            <w:r w:rsidR="00B924CB">
              <w:rPr>
                <w:b/>
              </w:rPr>
              <w:t xml:space="preserve"> / </w:t>
            </w:r>
            <w:r w:rsidR="00B924CB">
              <w:t>21.20.24.131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Рулон марлевый тканый, нестерильный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11 520,00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01.21.01.06.06.113</w:t>
            </w:r>
            <w:r w:rsidR="00B924CB">
              <w:rPr>
                <w:b/>
              </w:rPr>
              <w:t xml:space="preserve"> / </w:t>
            </w:r>
            <w:r w:rsidR="00B924CB">
              <w:t>21.20.24.131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Рулон марлевый тканый, нестерильный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10 875,00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01.21.01.06.06.360</w:t>
            </w:r>
            <w:r w:rsidR="00B924CB">
              <w:rPr>
                <w:b/>
              </w:rPr>
              <w:t xml:space="preserve"> / </w:t>
            </w:r>
            <w:r w:rsidR="00B924CB">
              <w:t>21.20.24.131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Тканая марлевая салфетка, нестерильная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136,00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01.21.01.06.06.361</w:t>
            </w:r>
            <w:r w:rsidR="00B924CB">
              <w:rPr>
                <w:b/>
              </w:rPr>
              <w:t xml:space="preserve"> / </w:t>
            </w:r>
            <w:r w:rsidR="00B924CB">
              <w:t>21.20.24.150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Тканая марлевая салфетка, 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01.21.01.06.06.361</w:t>
            </w:r>
            <w:r w:rsidR="00B924CB">
              <w:rPr>
                <w:b/>
              </w:rPr>
              <w:t xml:space="preserve"> / </w:t>
            </w:r>
            <w:r w:rsidR="00B924CB">
              <w:t>21.20.24.150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Тканая марлевая салфетка, 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01.21.01.06.06.361</w:t>
            </w:r>
            <w:r w:rsidR="00B924CB">
              <w:rPr>
                <w:b/>
              </w:rPr>
              <w:t xml:space="preserve"> / </w:t>
            </w:r>
            <w:r w:rsidR="00B924CB">
              <w:t>21.20.24.150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Тканая марлевая салфетка, 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01.21.01.06.06.361</w:t>
            </w:r>
            <w:r w:rsidR="00B924CB">
              <w:rPr>
                <w:b/>
              </w:rPr>
              <w:t xml:space="preserve"> / </w:t>
            </w:r>
            <w:r w:rsidR="00B924CB">
              <w:t>21.20.24.150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Тканая марлевая салфетка, 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01.21.01.13.07.381.02</w:t>
            </w:r>
            <w:r w:rsidR="00B924CB">
              <w:rPr>
                <w:b/>
              </w:rPr>
              <w:t xml:space="preserve"> / </w:t>
            </w:r>
            <w:r w:rsidR="00B924CB">
              <w:t>21.20.24.133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Фиксирующий бинт эластичный,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01.21.01.13.07.381.02</w:t>
            </w:r>
            <w:r w:rsidR="00B924CB">
              <w:rPr>
                <w:b/>
              </w:rPr>
              <w:t xml:space="preserve"> / </w:t>
            </w:r>
            <w:r w:rsidR="00B924CB">
              <w:t>21.20.24.133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Фиксирующий бинт эластичный,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01.21.01.13.07.381.02</w:t>
            </w:r>
            <w:r w:rsidR="00B924CB">
              <w:rPr>
                <w:b/>
              </w:rPr>
              <w:t xml:space="preserve"> / </w:t>
            </w:r>
            <w:r w:rsidR="00B924CB">
              <w:t>21.20.24.133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Фиксирующий бинт эластичный,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01.21.01.13.07.381.02</w:t>
            </w:r>
            <w:r w:rsidR="00B924CB">
              <w:rPr>
                <w:b/>
              </w:rPr>
              <w:t xml:space="preserve"> / </w:t>
            </w:r>
            <w:r w:rsidR="00B924CB">
              <w:t>21.20.24.133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Фиксирующий бинт эластичный,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01.21.01.13.07.373</w:t>
            </w:r>
            <w:r w:rsidR="00B924CB">
              <w:rPr>
                <w:b/>
              </w:rPr>
              <w:t xml:space="preserve"> / </w:t>
            </w:r>
            <w:r w:rsidR="00B924CB">
              <w:t>21.20.24.133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Эластичный трубчатый бинт для фиксации повязки на ноге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01.21.01.13.07.373</w:t>
            </w:r>
            <w:r w:rsidR="00B924CB">
              <w:rPr>
                <w:b/>
              </w:rPr>
              <w:t xml:space="preserve"> / </w:t>
            </w:r>
            <w:r w:rsidR="00B924CB">
              <w:t>21.20.24.133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Эластичный трубчатый бинт для фиксации повязки на ноге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01.21.01.13.07.373</w:t>
            </w:r>
            <w:r w:rsidR="00B924CB">
              <w:rPr>
                <w:b/>
              </w:rPr>
              <w:t xml:space="preserve"> / </w:t>
            </w:r>
            <w:r w:rsidR="00B924CB">
              <w:t>21.20.24.133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Эластичный трубчатый бинт для фиксации повязки на ноге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01.21.01.13.07.373</w:t>
            </w:r>
            <w:r w:rsidR="00B924CB">
              <w:rPr>
                <w:b/>
              </w:rPr>
              <w:t xml:space="preserve"> / </w:t>
            </w:r>
            <w:r w:rsidR="00B924CB">
              <w:t>21.20.24.133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Эластичный трубчатый бинт для фиксации повязки на ноге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01.21.01.13.07.374</w:t>
            </w:r>
            <w:r w:rsidR="00B924CB">
              <w:rPr>
                <w:b/>
              </w:rPr>
              <w:t xml:space="preserve"> / </w:t>
            </w:r>
            <w:r w:rsidR="00B924CB">
              <w:t>21.20.24.133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Эластичный трубчатый бинт для фиксации повязки на руке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изделий медицинского назначения (Материалы хирургические, средства перевязочные специальные)</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Бинт гипсовый</w:t>
            </w:r>
            <w:r w:rsidR="00473384">
              <w:rPr>
                <w:lang w:val="en-US"/>
              </w:rPr>
              <w:t xml:space="preserve">; </w:t>
            </w:r>
            <w:r w:rsidR="00473384">
              <w:rPr>
                <w:lang w:val="en-US"/>
              </w:rPr>
              <w:t>1 150,00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Бинт гипсовый</w:t>
            </w:r>
            <w:r w:rsidR="00473384">
              <w:rPr>
                <w:lang w:val="en-US"/>
              </w:rPr>
              <w:t xml:space="preserve">; </w:t>
            </w:r>
            <w:r w:rsidR="00473384">
              <w:rPr>
                <w:lang w:val="en-US"/>
              </w:rPr>
              <w:t>880,00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Бинт гипсовый</w:t>
            </w:r>
            <w:r w:rsidR="00473384">
              <w:rPr>
                <w:lang w:val="en-US"/>
              </w:rPr>
              <w:t xml:space="preserve">; </w:t>
            </w:r>
            <w:r w:rsidR="00473384">
              <w:rPr>
                <w:lang w:val="en-US"/>
              </w:rPr>
              <w:t>1 000,00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Вата</w:t>
            </w:r>
            <w:r w:rsidR="00473384">
              <w:rPr>
                <w:lang w:val="en-US"/>
              </w:rPr>
              <w:t xml:space="preserve">; </w:t>
            </w:r>
            <w:r w:rsidR="00473384">
              <w:rPr>
                <w:lang w:val="en-US"/>
              </w:rPr>
              <w:t>1 743,00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Марлевый бинт, стерильный</w:t>
            </w:r>
            <w:r w:rsidR="00473384">
              <w:rPr>
                <w:lang w:val="en-US"/>
              </w:rPr>
              <w:t xml:space="preserve">; </w:t>
            </w:r>
            <w:r w:rsidR="00473384">
              <w:rPr>
                <w:lang w:val="en-US"/>
              </w:rPr>
              <w:t>150,00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Марлевый бинт, стерильный</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Марлевый бинт, стерильный</w:t>
            </w:r>
            <w:r w:rsidR="00473384">
              <w:rPr>
                <w:lang w:val="en-US"/>
              </w:rPr>
              <w:t xml:space="preserve">; </w:t>
            </w:r>
            <w:r w:rsidR="00473384">
              <w:rPr>
                <w:lang w:val="en-US"/>
              </w:rPr>
              <w:t>513,00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Марля медицинская (Штука)</w:t>
            </w:r>
            <w:r w:rsidR="00473384">
              <w:rPr>
                <w:lang w:val="en-US"/>
              </w:rPr>
              <w:t xml:space="preserve">; </w:t>
            </w:r>
            <w:r w:rsidR="00473384">
              <w:rPr>
                <w:lang w:val="en-US"/>
              </w:rPr>
              <w:t>30,00</w:t>
            </w:r>
            <w:r w:rsidR="00473384">
              <w:rPr>
                <w:lang w:val="en-US"/>
              </w:rPr>
              <w:t xml:space="preserve">; </w:t>
            </w:r>
            <w:r w:rsidR="00473384">
              <w:rPr>
                <w:lang w:val="en-US"/>
              </w:rPr>
              <w:t>Рулон</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Марля медицинская (Штука)</w:t>
            </w:r>
            <w:r w:rsidR="00473384">
              <w:rPr>
                <w:lang w:val="en-US"/>
              </w:rPr>
              <w:t xml:space="preserve">; </w:t>
            </w:r>
            <w:r w:rsidR="00473384">
              <w:rPr>
                <w:lang w:val="en-US"/>
              </w:rPr>
              <w:t>16 600,00</w:t>
            </w:r>
            <w:r w:rsidR="00473384">
              <w:rPr>
                <w:lang w:val="en-US"/>
              </w:rPr>
              <w:t xml:space="preserve">; </w:t>
            </w:r>
            <w:r w:rsidR="00473384">
              <w:rPr>
                <w:lang w:val="en-US"/>
              </w:rPr>
              <w:t>Метр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Марля медицинская (Штука)</w:t>
            </w:r>
            <w:r w:rsidR="00473384">
              <w:rPr>
                <w:lang w:val="en-US"/>
              </w:rPr>
              <w:t xml:space="preserve">; </w:t>
            </w:r>
            <w:r w:rsidR="00473384">
              <w:rPr>
                <w:lang w:val="en-US"/>
              </w:rPr>
              <w:t>9,00</w:t>
            </w:r>
            <w:r w:rsidR="00473384">
              <w:rPr>
                <w:lang w:val="en-US"/>
              </w:rPr>
              <w:t xml:space="preserve">; </w:t>
            </w:r>
            <w:r w:rsidR="00473384">
              <w:rPr>
                <w:lang w:val="en-US"/>
              </w:rPr>
              <w:t>Рулон</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Марля медицинская (Штука)</w:t>
            </w:r>
            <w:r w:rsidR="00473384">
              <w:rPr>
                <w:lang w:val="en-US"/>
              </w:rPr>
              <w:t xml:space="preserve">; </w:t>
            </w:r>
            <w:r w:rsidR="00473384">
              <w:rPr>
                <w:lang w:val="en-US"/>
              </w:rPr>
              <w:t>2,00</w:t>
            </w:r>
            <w:r w:rsidR="00473384">
              <w:rPr>
                <w:lang w:val="en-US"/>
              </w:rPr>
              <w:t xml:space="preserve">; </w:t>
            </w:r>
            <w:r w:rsidR="00473384">
              <w:rPr>
                <w:lang w:val="en-US"/>
              </w:rPr>
              <w:t>Рулон</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Марля медицинская (Штука)</w:t>
            </w:r>
            <w:r w:rsidR="00473384">
              <w:rPr>
                <w:lang w:val="en-US"/>
              </w:rPr>
              <w:t xml:space="preserve">; </w:t>
            </w:r>
            <w:r w:rsidR="00473384">
              <w:rPr>
                <w:lang w:val="en-US"/>
              </w:rPr>
              <w:t>18,00</w:t>
            </w:r>
            <w:r w:rsidR="00473384">
              <w:rPr>
                <w:lang w:val="en-US"/>
              </w:rPr>
              <w:t xml:space="preserve">; </w:t>
            </w:r>
            <w:r w:rsidR="00473384">
              <w:rPr>
                <w:lang w:val="en-US"/>
              </w:rPr>
              <w:t>Рулон</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Полупроницаемая повязка из синтетического полимера, адгезивная, нестерильная</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Полупроницаемая повязка из синтетического полимера, адгезивная, нестерильная</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Рулон марлевый тканый, нестерильный</w:t>
            </w:r>
            <w:r w:rsidR="00473384">
              <w:rPr>
                <w:lang w:val="en-US"/>
              </w:rPr>
              <w:t xml:space="preserve">; </w:t>
            </w:r>
            <w:r w:rsidR="00473384">
              <w:rPr>
                <w:lang w:val="en-US"/>
              </w:rPr>
              <w:t>11 520,00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Рулон марлевый тканый, нестерильный</w:t>
            </w:r>
            <w:r w:rsidR="00473384">
              <w:rPr>
                <w:lang w:val="en-US"/>
              </w:rPr>
              <w:t xml:space="preserve">; </w:t>
            </w:r>
            <w:r w:rsidR="00473384">
              <w:rPr>
                <w:lang w:val="en-US"/>
              </w:rPr>
              <w:t>10 875,00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Тканая марлевая салфетка, нестерильная</w:t>
            </w:r>
            <w:r w:rsidR="00473384">
              <w:rPr>
                <w:lang w:val="en-US"/>
              </w:rPr>
              <w:t xml:space="preserve">; </w:t>
            </w:r>
            <w:r w:rsidR="00473384">
              <w:rPr>
                <w:lang w:val="en-US"/>
              </w:rPr>
              <w:t>136,00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Тканая марлевая салфетка, стерильная</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Тканая марлевая салфетка, стерильная</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Тканая марлевая салфетка, стерильная</w:t>
            </w:r>
            <w:r w:rsidR="00473384">
              <w:rPr>
                <w:lang w:val="en-US"/>
              </w:rPr>
              <w:t xml:space="preserve">; </w:t>
            </w:r>
            <w:r w:rsidR="00473384">
              <w:rPr>
                <w:lang w:val="en-US"/>
              </w:rPr>
              <w:t>80,00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Тканая марлевая салфетка, стерильная</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Фиксирующий бинт эластичный, Штука</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Фиксирующий бинт эластичный, Штука</w:t>
            </w:r>
            <w:r w:rsidR="00473384">
              <w:rPr>
                <w:lang w:val="en-US"/>
              </w:rPr>
              <w:t xml:space="preserve">; </w:t>
            </w:r>
            <w:r w:rsidR="00473384">
              <w:rPr>
                <w:lang w:val="en-US"/>
              </w:rPr>
              <w:t>33,00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Фиксирующий бинт эластичный, Штука</w:t>
            </w:r>
            <w:r w:rsidR="00473384">
              <w:rPr>
                <w:lang w:val="en-US"/>
              </w:rPr>
              <w:t xml:space="preserve">; </w:t>
            </w:r>
            <w:r w:rsidR="00473384">
              <w:rPr>
                <w:lang w:val="en-US"/>
              </w:rPr>
              <w:t>38,00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Фиксирующий бинт эластичный, Штука</w:t>
            </w:r>
            <w:r w:rsidR="00473384">
              <w:rPr>
                <w:lang w:val="en-US"/>
              </w:rPr>
              <w:t xml:space="preserve">; </w:t>
            </w:r>
            <w:r w:rsidR="00473384">
              <w:rPr>
                <w:lang w:val="en-US"/>
              </w:rPr>
              <w:t>8,00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Эластичный трубчатый бинт для фиксации повязки на ноге</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Эластичный трубчатый бинт для фиксации повязки на ноге</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Эластичный трубчатый бинт для фиксации повязки на ноге</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Эластичный трубчатый бинт для фиксации повязки на ноге</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Эластичный трубчатый бинт для фиксации повязки на руке</w:t>
            </w:r>
            <w:r w:rsidR="00473384">
              <w:rPr>
                <w:lang w:val="en-US"/>
              </w:rPr>
              <w:t xml:space="preserve">; </w:t>
            </w:r>
            <w:r w:rsidR="00473384">
              <w:rPr>
                <w:lang w:val="en-US"/>
              </w:rPr>
              <w:t>3 500,00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изделий медицинского назначения (Материалы хирургические, средства перевязочные специальные)</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изделий медицинского назначения (Материалы хирургические, средства перевязочные специальные))</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изделий медицинского назначения (Материалы хирургические, средства перевязочные специальные)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изделий медицинского назначения (Материалы хирургические, средства перевязочные специальные)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изделий медицинского назначения (Материалы хирургические, средства перевязочные специальные)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изделий медицинского назначения (Материалы хирургические, средства перевязочные специальные)</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изделий медицинского назначения (Материалы хирургические, средства перевязочные специальные)</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128403-21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