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124409-21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иммунологического анализатора ADVIA Centaur</w:t>
      </w:r>
    </w:p>
    <w:p w:rsidR="007C3BF1" w:rsidRDefault="008C2287">
      <w:pPr>
        <w:ind w:left="1418"/>
      </w:pPr>
      <w:r>
        <w:t xml:space="preserve">Цена </w:t>
      </w:r>
      <w:r>
        <w:t>договора</w:t>
      </w:r>
      <w:r>
        <w:t xml:space="preserve">, руб.: </w:t>
      </w:r>
      <w:r>
        <w:t>6 331 626,61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42,00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18,00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для иммунологического анализатора ADVIA Centaur</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42,00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21,00</w:t>
            </w:r>
            <w:r w:rsidR="000B5400">
              <w:t xml:space="preserve"> </w:t>
            </w:r>
            <w:r w:rsidRPr="000B5400" w:rsidR="000B5400">
              <w:t>,</w:t>
            </w:r>
            <w:r w:rsidR="000B5400">
              <w:t xml:space="preserve">единица измерения: </w:t>
            </w:r>
            <w:r w:rsidRPr="000B5400" w:rsidR="008C2287">
              <w:t>Набор</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реагентов для иммунологического анализатора ADVIA Centaur</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для иммунологического анализатора ADVIA Centaur)</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реагентов для иммунологического анализатора ADVIA Centaur</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для иммунологического анализатора ADVIA Centaur</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для иммунологического анализатора ADVIA Centaur</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для иммунологического анализатора ADVIA Centaur</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для иммунологического анализатора ADVIA Centaur</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реагентов для иммунологического анализатора ADVIA Centaur</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для иммунологического анализатора ADVIA Centaur</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реагентов для иммунологического анализатора ADVIA Centaur</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для иммунологического анализатора ADVIA Centaur</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для иммунологического анализатора ADVIA Centaur</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