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01.22.02.01.21.04.02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22.23.14.110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Двери ПВХ</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"Орехово-Зуевский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Л. Белова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конструкций ПВХ (двери)</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Двери ПВХ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1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конструкций ПВХ (двери)</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конструкций ПВХ (двери))</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Орехово-Зуевский г.о., с. Ильинский Погост, ул. Егорьевская, д. 5</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"Орехово-Зуевский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Л. Белова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конструкций ПВХ (двери)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конструкций ПВХ (двери)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конструкций ПВХ (двери)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конструкций ПВХ (двери)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конструкций ПВХ (двери)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10719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конструкций ПВХ (двери)</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10719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10719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"Орехово-Зуевский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Л. Белова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"Орехово-Зуевский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Л. Белова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045725-21</w:t>
            </w:r>
          </w:sdtContent>
        </w:sdt>
      </w:sdtContent>
    </w:sdt>
  </w:p>
  <w:p w:rsidR="007A15AB" w:rsidP="002D335B" w:rsidRDefault="007A15AB">
    <w:pPr>
      <w:pStyle w:val="af0"/>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