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01.71.03.03.02.01.02.1639</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Электрод электрохирургический эндоскопический, монополярный,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расходных материалов для оперблока</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Электрод электрохирургический эндоскопический, монополярный, многоразового использования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расходных материалов для оперблока</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оперблока)</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расходных материалов для оперблока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расходных материалов для оперблока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расходных материалов для оперблока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расходных материалов для оперблока</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расходных материалов для оперблока</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116803-21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