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076014-22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реагентов для биохимического анализатора Super GL и Furuno</w:t>
      </w:r>
    </w:p>
    <w:p w:rsidR="007C3BF1" w:rsidRDefault="006C06F8">
      <w:pPr>
        <w:ind w:left="1418"/>
      </w:pPr>
      <w:r w:rsidR="008C2287">
        <w:t xml:space="preserve">Цена </w:t>
      </w:r>
      <w:r w:rsidR="008C2287">
        <w:t>договора</w:t>
      </w:r>
      <w:r w:rsidR="008C2287">
        <w:t>, руб.:</w:t>
      </w:r>
      <w:r w:rsidR="001406FC">
        <w:t xml:space="preserve"> </w:t>
      </w:r>
      <w:r w:rsidR="008C2287">
        <w:t>343 052,55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01.21.01.02.56.279</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Контрольный материал для проверки качества питательной среды</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01.21.01.02.56.279</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Контрольный материал для проверки качества питательной среды</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01.21.01.02.56.279</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Контрольный материал для проверки качества питательной среды</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01.21.01.02.56.279</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Контрольный материал для проверки качества питательной среды</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01.21.01.02.56.279</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Контрольный материал для проверки качества питательной среды</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01.21.01.02.56.279</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Контрольный материал для проверки качества питательной среды</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01.21.01.02.56.279</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Контрольный материал для проверки качества питательной среды</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01.21.01.02.56.279</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Контрольный материал для проверки качества питательной среды</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01.21.01.02.56.279</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Контрольный материал для проверки качества питательной среды</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01.21.01.02.56.279</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Контрольный материал для проверки качества питательной среды</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01.21.01.02.56.279</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Контрольный материал для проверки качества питательной среды</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01.21.01.02.56.279</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Контрольный материал для проверки качества питательной среды</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01.21.01.02.56.279</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Контрольный материал для проверки качества питательной среды</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01.21.01.02.56.279</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Контрольный материал для проверки качества питательной среды</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01.21.01.02.56.279</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Контрольный материал для проверки качества питательной среды</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реагентов для биохимического анализатора Super GL и Furuno</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 обязательству: поставка реагентов для биохимического анализатора Super GL и Furuno</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реагентов для биохимического анализатора Super GL и Furuno)</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 обязательству: поставка реагентов для биохимического анализатора Super GL и Furuno</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реагентов для биохимического анализатора Super GL и Furuno</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реагентов для биохимического анализатора Super GL и Furuno</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реагентов для биохимического анализатора Super GL и Furuno</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реагентов для биохимического анализатора Super GL и Furuno</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реагентов для биохимического анализатора Super GL и Furuno</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реагентов для биохимического анализатора Super GL и Furuno</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реагентов для биохимического анализатора Super GL и Furuno</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реагентов для биохимического анализатора Super GL и Furuno</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реагентов для биохимического анализатора Super GL и Furuno</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