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Филиппов Алексей Николаевич</w:t>
        <w:br/>
        <w:t>Директор</w:t>
        <w:br/>
        <w:t>МУНИЦИПАЛЬНОЕ УНИТАРНОЕ ПРЕДПРИЯТИЕ"ВОДОКАНАЛ"ГОРОДСКОГО ОКРУГА КАШИРА</w:t>
        <w:br/>
        <w:t>«30» августа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гКашира, ул.Советская, д.28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г.Кашира, ул. Ленина, д.2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Проведение обязательного ежегодного аудита бухгалтерской (финансовой) отчетности МУП "Водоканал" г.о. Кашира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Московская область городской округ Кашира ул. Советская дом 28 пом 140-143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165 000 (сто шестьдесят пять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«04» сентября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«22» сентября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«04» сентября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«22» сентября 2023 в 12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«04» сентября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«20» сентября 2023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«22» сентября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«22» сентября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«22» сентября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«22» сентября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«22» сентября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