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«14» декабря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связи (Интернет)</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связи (Интернет)</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ТЗ;</w:t>
              <w:br/>
              <w:t>График оказания услуг: Согласно ТЗ;</w:t>
              <w:br/>
              <w:t>Условия оказания услуг: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157 760 (сто пятьдесят семь тысяч семьсот шестьдесят) рублей 04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0 рублей 00 копеек</w:t>
              <w:br/>
              <w:t/>
              <w:br/>
              <w:t>2022 - Средства муниципальных образований Московской области</w:t>
              <w:br/>
              <w:t/>
              <w:br/>
              <w:t>КБК: 909-0000-0000000000-244, 157 760 рублей 04 копейки</w:t>
              <w:br/>
              <w:t/>
              <w:br/>
              <w:t>ОКПД2: 61.10.30.190 Услуги по передаче данных по проводным телекоммуникационным сетям прочие;</w:t>
              <w:br/>
              <w:t/>
              <w:br/>
              <w:t>ОКВЭД2: 61.10.3 Деятельность по предоставлению услуг по передаче данных и услуг доступа к информационно-коммуникационной сети Интернет;</w:t>
              <w:br/>
              <w:t/>
              <w:br/>
              <w:t>Код КОЗ: 02.02.04.04 Услуги связи и передачи данных в сети Интернет;</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декабря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декабря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