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16" w:rsidRDefault="00E61216" w:rsidP="00E61216">
      <w:pPr>
        <w:keepNext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ТЕХНИЧЕСКОЕ ЗАДАНИЕ </w:t>
      </w:r>
      <w:proofErr w:type="spellStart"/>
      <w:r>
        <w:rPr>
          <w:rFonts w:ascii="Times New Roman" w:hAnsi="Times New Roman" w:cs="Times New Roman"/>
          <w:b/>
        </w:rPr>
        <w:t>АМИНАТ</w:t>
      </w:r>
      <w:r>
        <w:rPr>
          <w:rFonts w:ascii="Times New Roman" w:hAnsi="Times New Roman" w:cs="Times New Roman"/>
          <w:b/>
          <w:vertAlign w:val="superscript"/>
        </w:rPr>
        <w:t>тм</w:t>
      </w:r>
      <w:proofErr w:type="spellEnd"/>
      <w:proofErr w:type="gramStart"/>
      <w:r>
        <w:rPr>
          <w:rFonts w:ascii="Times New Roman" w:hAnsi="Times New Roman" w:cs="Times New Roman"/>
          <w:b/>
        </w:rPr>
        <w:t xml:space="preserve"> К</w:t>
      </w:r>
      <w:proofErr w:type="gramEnd"/>
    </w:p>
    <w:p w:rsidR="00E61216" w:rsidRDefault="00E61216" w:rsidP="00E61216">
      <w:pPr>
        <w:keepNext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Ингибитор отложений минеральных солей</w:t>
      </w:r>
    </w:p>
    <w:p w:rsidR="00E61216" w:rsidRDefault="00E61216" w:rsidP="00E61216">
      <w:pPr>
        <w:keepNext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обратноосмотических установок очистки воды.</w:t>
      </w:r>
    </w:p>
    <w:p w:rsidR="00E61216" w:rsidRDefault="00E61216" w:rsidP="00E61216">
      <w:pPr>
        <w:keepNext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качеству продукции: 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Бесцветная или светло желтого цвета жидкость, представляет собой водный раствор смеси натриевых солей </w:t>
      </w:r>
      <w:proofErr w:type="spellStart"/>
      <w:r>
        <w:rPr>
          <w:rFonts w:ascii="Times New Roman" w:hAnsi="Times New Roman" w:cs="Times New Roman"/>
        </w:rPr>
        <w:t>метилиминодиметилфосфоновои</w:t>
      </w:r>
      <w:proofErr w:type="spellEnd"/>
      <w:r>
        <w:rPr>
          <w:rFonts w:ascii="Times New Roman" w:hAnsi="Times New Roman" w:cs="Times New Roman"/>
        </w:rPr>
        <w:t xml:space="preserve">̆ и </w:t>
      </w:r>
      <w:proofErr w:type="spellStart"/>
      <w:r>
        <w:rPr>
          <w:rFonts w:ascii="Times New Roman" w:hAnsi="Times New Roman" w:cs="Times New Roman"/>
        </w:rPr>
        <w:t>нитрилотриметилфосфоновои</w:t>
      </w:r>
      <w:proofErr w:type="spellEnd"/>
      <w:r>
        <w:rPr>
          <w:rFonts w:ascii="Times New Roman" w:hAnsi="Times New Roman" w:cs="Times New Roman"/>
        </w:rPr>
        <w:t>̆ кислот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Коэффициент относительного содержания </w:t>
      </w:r>
      <w:proofErr w:type="spellStart"/>
      <w:r>
        <w:rPr>
          <w:rFonts w:ascii="Times New Roman" w:hAnsi="Times New Roman" w:cs="Times New Roman"/>
        </w:rPr>
        <w:t>нитрилотриметилфосфонатов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метилиминодиметилфосфонатов</w:t>
      </w:r>
      <w:proofErr w:type="spellEnd"/>
      <w:r>
        <w:rPr>
          <w:rFonts w:ascii="Times New Roman" w:hAnsi="Times New Roman" w:cs="Times New Roman"/>
        </w:rPr>
        <w:t xml:space="preserve"> 3,0 – 4,0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рН – в пределах 5,0 - 7,0</w:t>
      </w:r>
      <w:r>
        <w:rPr>
          <w:rFonts w:ascii="Times New Roman" w:hAnsi="Times New Roman" w:cs="Times New Roman"/>
        </w:rPr>
        <w:br/>
        <w:t>Плотность при температуре 22±5</w:t>
      </w:r>
      <w:proofErr w:type="gramStart"/>
      <w:r>
        <w:rPr>
          <w:rFonts w:ascii="Times New Roman" w:hAnsi="Times New Roman" w:cs="Times New Roman"/>
        </w:rPr>
        <w:t xml:space="preserve"> °С</w:t>
      </w:r>
      <w:proofErr w:type="gramEnd"/>
      <w:r>
        <w:rPr>
          <w:rFonts w:ascii="Times New Roman" w:hAnsi="Times New Roman" w:cs="Times New Roman"/>
        </w:rPr>
        <w:t xml:space="preserve"> в пределах 1,20-1,30 г/см</w:t>
      </w:r>
      <w:r>
        <w:rPr>
          <w:rFonts w:ascii="Times New Roman" w:hAnsi="Times New Roman" w:cs="Times New Roman"/>
          <w:vertAlign w:val="superscript"/>
        </w:rPr>
        <w:t>3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Массовая концентрация </w:t>
      </w:r>
      <w:proofErr w:type="spellStart"/>
      <w:r>
        <w:rPr>
          <w:rFonts w:ascii="Times New Roman" w:hAnsi="Times New Roman" w:cs="Times New Roman"/>
        </w:rPr>
        <w:t>фосфокатов</w:t>
      </w:r>
      <w:proofErr w:type="spellEnd"/>
      <w:r>
        <w:rPr>
          <w:rFonts w:ascii="Times New Roman" w:hAnsi="Times New Roman" w:cs="Times New Roman"/>
        </w:rPr>
        <w:t xml:space="preserve"> в пересчете на РО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vertAlign w:val="superscript"/>
        </w:rPr>
        <w:t>3-</w:t>
      </w:r>
      <w:r>
        <w:rPr>
          <w:rFonts w:ascii="Times New Roman" w:hAnsi="Times New Roman" w:cs="Times New Roman"/>
        </w:rPr>
        <w:t xml:space="preserve"> в пределах 250-280 г/дм</w:t>
      </w:r>
      <w:r>
        <w:rPr>
          <w:rFonts w:ascii="Times New Roman" w:hAnsi="Times New Roman" w:cs="Times New Roman"/>
          <w:vertAlign w:val="superscript"/>
        </w:rPr>
        <w:t>3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Массовая концентрация фосфористой кислоты в пересчете на РО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3- </w:t>
      </w:r>
      <w:r>
        <w:rPr>
          <w:rFonts w:ascii="Times New Roman" w:hAnsi="Times New Roman" w:cs="Times New Roman"/>
        </w:rPr>
        <w:t>не более 20 г/дм</w:t>
      </w:r>
      <w:r>
        <w:rPr>
          <w:rFonts w:ascii="Times New Roman" w:hAnsi="Times New Roman" w:cs="Times New Roman"/>
          <w:vertAlign w:val="superscript"/>
        </w:rPr>
        <w:t>3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Регламентирован по составу органических компонентов и содержанию неорганических примесей</w:t>
      </w:r>
      <w:r>
        <w:rPr>
          <w:rFonts w:ascii="Times New Roman" w:hAnsi="Times New Roman" w:cs="Times New Roman"/>
        </w:rPr>
        <w:br/>
        <w:t>Значение рН – в пределах 5,0 - 7,0</w:t>
      </w:r>
      <w:r>
        <w:rPr>
          <w:rFonts w:ascii="Times New Roman" w:hAnsi="Times New Roman" w:cs="Times New Roman"/>
        </w:rPr>
        <w:br/>
        <w:t>Плотность при температуре 22±5</w:t>
      </w:r>
      <w:proofErr w:type="gramStart"/>
      <w:r>
        <w:rPr>
          <w:rFonts w:ascii="Times New Roman" w:hAnsi="Times New Roman" w:cs="Times New Roman"/>
        </w:rPr>
        <w:t xml:space="preserve"> °С</w:t>
      </w:r>
      <w:proofErr w:type="gramEnd"/>
      <w:r>
        <w:rPr>
          <w:rFonts w:ascii="Times New Roman" w:hAnsi="Times New Roman" w:cs="Times New Roman"/>
        </w:rPr>
        <w:t xml:space="preserve"> – в пределах 1,20-1,30 г/см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br/>
        <w:t xml:space="preserve">Не горюч, </w:t>
      </w:r>
      <w:proofErr w:type="spellStart"/>
      <w:r>
        <w:rPr>
          <w:rFonts w:ascii="Times New Roman" w:hAnsi="Times New Roman" w:cs="Times New Roman"/>
        </w:rPr>
        <w:t>пожаровзрывобезопасен</w:t>
      </w:r>
      <w:proofErr w:type="spellEnd"/>
      <w:r>
        <w:rPr>
          <w:rFonts w:ascii="Times New Roman" w:hAnsi="Times New Roman" w:cs="Times New Roman"/>
        </w:rPr>
        <w:br/>
        <w:t xml:space="preserve">Химически </w:t>
      </w:r>
      <w:proofErr w:type="spellStart"/>
      <w:r>
        <w:rPr>
          <w:rFonts w:ascii="Times New Roman" w:hAnsi="Times New Roman" w:cs="Times New Roman"/>
        </w:rPr>
        <w:t>малоопасен</w:t>
      </w:r>
      <w:proofErr w:type="spellEnd"/>
      <w:r>
        <w:rPr>
          <w:rFonts w:ascii="Times New Roman" w:hAnsi="Times New Roman" w:cs="Times New Roman"/>
        </w:rPr>
        <w:t xml:space="preserve"> (4 класс опасности по ГОСТ 12.1.007)</w:t>
      </w:r>
      <w:r>
        <w:rPr>
          <w:rFonts w:ascii="Times New Roman" w:hAnsi="Times New Roman" w:cs="Times New Roman"/>
        </w:rPr>
        <w:br/>
        <w:t>Загустевает при температуре ниже -10°С, не теряя потребительских свойств</w:t>
      </w:r>
    </w:p>
    <w:p w:rsidR="00E61216" w:rsidRDefault="00E61216" w:rsidP="00E61216">
      <w:pPr>
        <w:pStyle w:val="a3"/>
        <w:keepNext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продукции должно соответствовать требованиям ТУ 2439-136-17965829-2012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упаковке товара: 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Аминат</w:t>
      </w:r>
      <w:proofErr w:type="spellEnd"/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 упакован в герметичные канистры.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закупаемой продукции 1144 кг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аз в 3-4 месяца поставка товара до склада заказчика)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Рекомендации по применению: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  <w:t>Расход реагента составляет от 5 до 25 г на каждый кубометр обрабатываемой воды в зависимости от ее химического состава.</w:t>
      </w:r>
      <w:r>
        <w:rPr>
          <w:rFonts w:ascii="Times New Roman" w:hAnsi="Times New Roman" w:cs="Times New Roman"/>
        </w:rPr>
        <w:br/>
        <w:t xml:space="preserve">Реагент дозируется пропорционально расходу </w:t>
      </w:r>
      <w:proofErr w:type="spellStart"/>
      <w:r>
        <w:rPr>
          <w:rFonts w:ascii="Times New Roman" w:hAnsi="Times New Roman" w:cs="Times New Roman"/>
        </w:rPr>
        <w:t>подпиточнои</w:t>
      </w:r>
      <w:proofErr w:type="spellEnd"/>
      <w:r>
        <w:rPr>
          <w:rFonts w:ascii="Times New Roman" w:hAnsi="Times New Roman" w:cs="Times New Roman"/>
        </w:rPr>
        <w:t>̆ воды.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Особенности: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  <w:t xml:space="preserve">Заменяет обработку воды методами ионного обмена в процессе водоподготовки для </w:t>
      </w:r>
      <w:proofErr w:type="spellStart"/>
      <w:r>
        <w:rPr>
          <w:rFonts w:ascii="Times New Roman" w:hAnsi="Times New Roman" w:cs="Times New Roman"/>
        </w:rPr>
        <w:t>энергообъектов</w:t>
      </w:r>
      <w:proofErr w:type="spellEnd"/>
      <w:r>
        <w:rPr>
          <w:rFonts w:ascii="Times New Roman" w:hAnsi="Times New Roman" w:cs="Times New Roman"/>
        </w:rPr>
        <w:t xml:space="preserve"> низкого и среднего давления. Исключает образование накипи при температуре воды до 130°С.</w:t>
      </w:r>
    </w:p>
    <w:p w:rsidR="00E61216" w:rsidRDefault="00E61216" w:rsidP="00E61216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Условия хранения и гарантийный срок: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АМИНАТ</w:t>
      </w:r>
      <w:r>
        <w:rPr>
          <w:rFonts w:ascii="Times New Roman" w:hAnsi="Times New Roman" w:cs="Times New Roman"/>
          <w:vertAlign w:val="superscript"/>
        </w:rPr>
        <w:t>тм</w:t>
      </w:r>
      <w:proofErr w:type="spellEnd"/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 долже</w:t>
      </w:r>
      <w:bookmarkStart w:id="0" w:name="_GoBack"/>
      <w:bookmarkEnd w:id="0"/>
      <w:r>
        <w:rPr>
          <w:rFonts w:ascii="Times New Roman" w:hAnsi="Times New Roman" w:cs="Times New Roman"/>
        </w:rPr>
        <w:t>н храниться в крытых вентилируемых складских помещениях.  </w:t>
      </w:r>
      <w:r>
        <w:rPr>
          <w:rFonts w:ascii="Times New Roman" w:hAnsi="Times New Roman" w:cs="Times New Roman"/>
        </w:rPr>
        <w:br/>
        <w:t>Гарантийный срок хранения – 12 месяцев с даты изготовления.</w:t>
      </w:r>
    </w:p>
    <w:p w:rsidR="00BF76A0" w:rsidRPr="00A025B1" w:rsidRDefault="00BF76A0" w:rsidP="00BF76A0">
      <w:pPr>
        <w:pStyle w:val="a4"/>
        <w:tabs>
          <w:tab w:val="left" w:pos="495"/>
        </w:tabs>
        <w:rPr>
          <w:rFonts w:ascii="Times New Roman" w:hAnsi="Times New Roman" w:cs="Times New Roman"/>
        </w:rPr>
      </w:pPr>
      <w:r w:rsidRPr="00A025B1">
        <w:rPr>
          <w:rFonts w:ascii="Times New Roman" w:hAnsi="Times New Roman" w:cs="Times New Roman"/>
          <w:b/>
        </w:rPr>
        <w:t>Адрес склада:</w:t>
      </w:r>
      <w:r>
        <w:rPr>
          <w:rFonts w:ascii="Times New Roman" w:hAnsi="Times New Roman" w:cs="Times New Roman"/>
        </w:rPr>
        <w:t xml:space="preserve"> </w:t>
      </w:r>
      <w:r w:rsidRPr="00A025B1">
        <w:rPr>
          <w:rFonts w:ascii="Times New Roman" w:hAnsi="Times New Roman" w:cs="Times New Roman"/>
        </w:rPr>
        <w:t>Московская область, Ногинский район,</w:t>
      </w:r>
      <w:r>
        <w:rPr>
          <w:rFonts w:ascii="Times New Roman" w:hAnsi="Times New Roman" w:cs="Times New Roman"/>
        </w:rPr>
        <w:t xml:space="preserve"> </w:t>
      </w:r>
      <w:r w:rsidRPr="00A025B1">
        <w:rPr>
          <w:rFonts w:ascii="Times New Roman" w:hAnsi="Times New Roman" w:cs="Times New Roman"/>
        </w:rPr>
        <w:t>г. Старая Купавна, ул. Большая Московская</w:t>
      </w:r>
      <w:r>
        <w:rPr>
          <w:rFonts w:ascii="Times New Roman" w:hAnsi="Times New Roman" w:cs="Times New Roman"/>
        </w:rPr>
        <w:t>, д. 3, котельная №2.</w:t>
      </w:r>
    </w:p>
    <w:p w:rsidR="00BF76A0" w:rsidRDefault="00BF76A0" w:rsidP="00E61216">
      <w:pPr>
        <w:keepNext/>
        <w:spacing w:after="0" w:line="240" w:lineRule="auto"/>
        <w:rPr>
          <w:rFonts w:ascii="Times New Roman" w:hAnsi="Times New Roman" w:cs="Times New Roman"/>
        </w:rPr>
      </w:pPr>
    </w:p>
    <w:p w:rsidR="00E61216" w:rsidRDefault="00E61216" w:rsidP="00E61216">
      <w:pPr>
        <w:pStyle w:val="6"/>
        <w:jc w:val="center"/>
        <w:rPr>
          <w:rFonts w:eastAsiaTheme="minorEastAsia"/>
          <w:bCs w:val="0"/>
        </w:rPr>
      </w:pPr>
      <w:r>
        <w:rPr>
          <w:rFonts w:eastAsiaTheme="minorEastAsia"/>
          <w:bCs w:val="0"/>
        </w:rPr>
        <w:t>СПЕЦИФИКАЦИЯ</w:t>
      </w:r>
    </w:p>
    <w:tbl>
      <w:tblPr>
        <w:tblW w:w="6945" w:type="dxa"/>
        <w:jc w:val="center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340"/>
        <w:gridCol w:w="1988"/>
        <w:gridCol w:w="1130"/>
        <w:gridCol w:w="849"/>
      </w:tblGrid>
      <w:tr w:rsidR="00E61216" w:rsidTr="00E61216">
        <w:trPr>
          <w:trHeight w:val="51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 поставки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Ед.</w:t>
            </w:r>
          </w:p>
        </w:tc>
      </w:tr>
      <w:tr w:rsidR="00E61216" w:rsidTr="00E61216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Март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E61216" w:rsidTr="00E61216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Май 2022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E61216" w:rsidTr="00E61216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Июль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E61216" w:rsidTr="00E61216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Сентябрь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E61216" w:rsidTr="00E61216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Ноябрь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16" w:rsidRDefault="00E61216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</w:tbl>
    <w:p w:rsidR="00A905B4" w:rsidRDefault="00A905B4"/>
    <w:sectPr w:rsidR="00A9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7BB8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71"/>
    <w:rsid w:val="001D4271"/>
    <w:rsid w:val="00A905B4"/>
    <w:rsid w:val="00BF76A0"/>
    <w:rsid w:val="00E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1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121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121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E61216"/>
    <w:pPr>
      <w:ind w:left="720"/>
      <w:contextualSpacing/>
    </w:pPr>
  </w:style>
  <w:style w:type="paragraph" w:styleId="a4">
    <w:name w:val="header"/>
    <w:basedOn w:val="a"/>
    <w:link w:val="a5"/>
    <w:semiHidden/>
    <w:rsid w:val="00BF76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semiHidden/>
    <w:rsid w:val="00BF76A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1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121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121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E61216"/>
    <w:pPr>
      <w:ind w:left="720"/>
      <w:contextualSpacing/>
    </w:pPr>
  </w:style>
  <w:style w:type="paragraph" w:styleId="a4">
    <w:name w:val="header"/>
    <w:basedOn w:val="a"/>
    <w:link w:val="a5"/>
    <w:semiHidden/>
    <w:rsid w:val="00BF76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semiHidden/>
    <w:rsid w:val="00BF76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2022-02-21T07:51:00Z</dcterms:created>
  <dcterms:modified xsi:type="dcterms:W3CDTF">2022-02-21T08:30:00Z</dcterms:modified>
</cp:coreProperties>
</file>