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114393-22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(Инструменты колющие)</w:t>
      </w:r>
    </w:p>
    <w:p w:rsidR="007C3BF1" w:rsidRDefault="0068700B">
      <w:pPr>
        <w:ind w:left="1418"/>
      </w:pPr>
      <w:r w:rsidR="008C2287">
        <w:t xml:space="preserve">Цена </w:t>
      </w:r>
      <w:r w:rsidR="008C2287">
        <w:t>договора</w:t>
      </w:r>
      <w:r w:rsidR="008C2287">
        <w:t>, руб.:</w:t>
      </w:r>
      <w:r w:rsidR="001406FC">
        <w:t xml:space="preserve"> </w:t>
      </w:r>
      <w:r w:rsidR="008C2287">
        <w:t>2 828 337,58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01.21.01.06.02.96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биопсии костного мозга,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01.21.01.06.02.96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биопсии костного мозга,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01.21.01.06.02.96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биопсии костного мозга,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01.21.01.06.02.96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биопсии костного мозга,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01.21.01.06.02.96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биопсии костного мозга,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не фильтрующая/не 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4 700,00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не фильтрующая/не 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не фильтрующая/не 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не фильтрующая/не 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не фильтрующая/не 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не фильтрующая/не 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01.21.10.2514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для переливания лекарственных средств, фильтрующая/вентилируемая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01.21.10.7423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спинальная для биоимпедансной навигации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01.21.10.7423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спинальная для биоимпедансной навигации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01.21.10.7423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спинальная для биоимпедансной навигации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01.71.03.03.01.01.02.08</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спинальная,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01.71.03.03.01.01.02.08</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спинальная,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01.21.01.14.25.26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Инструмент для пункции вены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01.21.01.02.13.01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Ланцет для постановки аллергологических проб</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01.21.01.06.14.359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Скарификатор неавтоматический,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01.21.01.06.14.359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Скарификатор неавтоматический,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01.21.01.06.14.419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для промывания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1 040,00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01.21.01.02.56.1074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инсулиновый/неубираемая игла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27 000,00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18 920,00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900,00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39 600,00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(Инструменты колющие)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не фильтрующая/не 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не фильтрующая/не 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не фильтрующая/не 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не фильтрующая/не 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не фильтрующая/не 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не фильтрующая/не 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переливания лекарственных средств, фильтрующая/вентилируемая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спинальная для биоимпедансной навигации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спинальная для биоимпедансной навигации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спинальная для биоимпедансной навигации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спинальная,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спинальная,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для пункции вены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Ланцет для постановки аллергологических проб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Скарификатор неавтоматический,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Скарификатор неавтоматический,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для промывания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инсулиновый/неубираемая игла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39 600,00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18 920,00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колющие)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(Инструменты колющие))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(Инструменты колющие)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колющие)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колющие)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колющие)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(Инструменты колющие)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колющие)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(Инструменты колющие)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колющие)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(Инструменты колющие)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(Инструменты колющие)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