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01.13.12.02.03</w:t>
            </w:r>
            <w:r w:rsidR="00B924CB">
              <w:rPr>
                <w:b/>
              </w:rPr>
              <w:t xml:space="preserve"> / </w:t>
            </w:r>
            <w:r w:rsidR="00B924CB">
              <w:t>36.00.11.000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Вода питьевая 18,9 л. В бутылях.</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Бутылка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Поставка товаров по договору</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Вода питьевая 18,9 л. В бутылях.</w:t>
            </w:r>
            <w:r w:rsidR="00473384">
              <w:rPr>
                <w:lang w:val="en-US"/>
              </w:rPr>
              <w:t xml:space="preserve">; </w:t>
            </w:r>
            <w:r w:rsidR="00473384">
              <w:rPr>
                <w:lang w:val="en-US"/>
              </w:rPr>
              <w:t>900,00</w:t>
            </w:r>
            <w:r w:rsidR="00473384">
              <w:rPr>
                <w:lang w:val="en-US"/>
              </w:rPr>
              <w:t xml:space="preserve">; </w:t>
            </w:r>
            <w:r w:rsidR="00473384">
              <w:rPr>
                <w:lang w:val="en-US"/>
              </w:rPr>
              <w:t>Бутылка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30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товаров по договору)</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129110, г. Москва, ул. Щепкина, дом 61/2, корпус 1</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100709-21</w:t>
    </w:r>
  </w:p>
  <w:p w:rsidR="00174CB9" w:rsidRDefault="00174CB9"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