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01.21.10.890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Фиксатор, жидкость Гелли</w:t>
            </w:r>
            <w:r w:rsidR="00965BE7">
              <w:rPr>
                <w:sz w:val="18"/>
                <w:szCs w:val="18"/>
              </w:rPr>
              <w:t xml:space="preserve"> </w:t>
            </w:r>
            <w:r w:rsidRPr="00652325" w:rsidR="00965BE7">
              <w:rPr>
                <w:sz w:val="18"/>
                <w:szCs w:val="18"/>
              </w:rPr>
              <w:t xml:space="preserve">/ </w:t>
            </w:r>
            <w:r w:rsidRPr="002E25F2" w:rsidR="00965BE7">
              <w:rPr>
                <w:sz w:val="18"/>
                <w:szCs w:val="18"/>
              </w:rPr>
              <w:t>Фиксатор, жидкость Гелли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мочевой станции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12 132,09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12 195,06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4 048,14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4 063,02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4 063,39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1 219,35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1 213,58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10 127,84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988 226,00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30 350,37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10 173,35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10 119,33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787 944,60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63 991,10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15 232,20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4 061,50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Фиксатор, жидкость Гелли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12 133,57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мочевой станции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мочевой станции)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мочевой станции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мочевой станции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мочевой станции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мочевой станции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мочевой станции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111897-22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