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02.02.04.06.01</w:t>
            </w:r>
            <w:r w:rsidR="005E1E29">
              <w:rPr>
                <w:b/>
              </w:rPr>
              <w:t xml:space="preserve"> / </w:t>
            </w:r>
            <w:r w:rsidR="005E1E29">
              <w:t>61.10.43.000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Предоставление телекоммуникационных услуг</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12,000000000000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Предоставление телекоммуникационных услуг</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Предоставление телекоммуникационных услуг</w:t>
            </w:r>
            <w:r w:rsidR="00473384">
              <w:rPr>
                <w:lang w:val="en-US"/>
              </w:rPr>
              <w:t xml:space="preserve">; </w:t>
            </w:r>
            <w:r w:rsidR="00473384">
              <w:rPr>
                <w:lang w:val="en-US"/>
              </w:rPr>
              <w:t>12,000000000000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(Предоставление телекоммуникационных услуг)</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129110, г. Москва, ул. Щепкина, дом 61/2, корпус 1</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Предоставление телекоммуникационных услуг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Предоставление телекоммуникационных услуг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Предоставление телекоммуникационных услуг</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120035-21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