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09699C">
        <w:rPr>
          <w:rFonts w:ascii="Times New Roman" w:hAnsi="Times New Roman" w:cs="Times New Roman"/>
          <w:b/>
          <w:i/>
          <w:sz w:val="28"/>
          <w:szCs w:val="28"/>
        </w:rPr>
        <w:t>02</w:t>
      </w:r>
      <w:r w:rsidRPr="00EA3F53">
        <w:rPr>
          <w:rFonts w:ascii="Times New Roman" w:hAnsi="Times New Roman" w:cs="Times New Roman"/>
          <w:b/>
          <w:i/>
          <w:sz w:val="28"/>
          <w:szCs w:val="28"/>
        </w:rPr>
        <w:t xml:space="preserve">» </w:t>
      </w:r>
      <w:r w:rsidR="0009699C">
        <w:rPr>
          <w:rFonts w:ascii="Times New Roman" w:hAnsi="Times New Roman" w:cs="Times New Roman"/>
          <w:b/>
          <w:i/>
          <w:sz w:val="28"/>
          <w:szCs w:val="28"/>
        </w:rPr>
        <w:t>июня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r w:rsidR="00297F97">
        <w:rPr>
          <w:rFonts w:ascii="Times New Roman" w:hAnsi="Times New Roman" w:cs="Times New Roman"/>
          <w:b/>
          <w:i/>
          <w:sz w:val="28"/>
          <w:szCs w:val="28"/>
        </w:rPr>
        <w:t xml:space="preserve"> С ИЗМЕНЕНИЯМИ</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0C5AFC" w:rsidRPr="000C5AFC">
        <w:rPr>
          <w:rFonts w:ascii="Times New Roman" w:hAnsi="Times New Roman" w:cs="Times New Roman"/>
          <w:b/>
          <w:i/>
          <w:sz w:val="28"/>
          <w:szCs w:val="28"/>
        </w:rPr>
        <w:t>материала для ремонта межпанельных швов</w:t>
      </w:r>
      <w:r w:rsidR="006E188E">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для нужд 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6E188E" w:rsidRDefault="006E188E" w:rsidP="006E188E">
      <w:pPr>
        <w:pStyle w:val="ConsPlusNormal"/>
        <w:jc w:val="both"/>
        <w:rPr>
          <w:rFonts w:ascii="Times New Roman" w:hAnsi="Times New Roman" w:cs="Times New Roman"/>
          <w:sz w:val="24"/>
          <w:szCs w:val="24"/>
        </w:rPr>
      </w:pPr>
    </w:p>
    <w:p w:rsidR="006E188E" w:rsidRPr="006E188E" w:rsidRDefault="006E188E" w:rsidP="006E188E">
      <w:pPr>
        <w:pStyle w:val="ConsPlusNormal"/>
        <w:ind w:firstLine="0"/>
        <w:jc w:val="both"/>
        <w:outlineLvl w:val="1"/>
        <w:rPr>
          <w:rFonts w:ascii="Times New Roman" w:hAnsi="Times New Roman"/>
          <w:b/>
          <w:sz w:val="24"/>
          <w:szCs w:val="24"/>
        </w:rPr>
      </w:pPr>
      <w:r w:rsidRPr="006E188E">
        <w:rPr>
          <w:rFonts w:ascii="Times New Roman" w:hAnsi="Times New Roman"/>
          <w:b/>
          <w:sz w:val="24"/>
          <w:szCs w:val="24"/>
          <w:lang w:val="en-US"/>
        </w:rPr>
        <w:t>VIII</w:t>
      </w:r>
      <w:r w:rsidRPr="006E188E">
        <w:rPr>
          <w:rFonts w:ascii="Times New Roman" w:hAnsi="Times New Roman"/>
          <w:b/>
          <w:sz w:val="24"/>
          <w:szCs w:val="24"/>
        </w:rPr>
        <w:t xml:space="preserve">. </w:t>
      </w:r>
      <w:r w:rsidRPr="006E188E">
        <w:rPr>
          <w:rFonts w:ascii="Times New Roman" w:hAnsi="Times New Roman"/>
          <w:b/>
          <w:caps/>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E188E" w:rsidRPr="006E188E" w:rsidRDefault="006E188E" w:rsidP="006E188E">
      <w:pPr>
        <w:pStyle w:val="ConsPlusNormal"/>
        <w:ind w:firstLine="709"/>
        <w:jc w:val="both"/>
        <w:rPr>
          <w:rFonts w:ascii="Times New Roman" w:hAnsi="Times New Roman"/>
          <w:sz w:val="24"/>
          <w:szCs w:val="24"/>
        </w:rPr>
      </w:pPr>
      <w:r>
        <w:rPr>
          <w:rFonts w:ascii="Times New Roman" w:hAnsi="Times New Roman"/>
          <w:sz w:val="24"/>
          <w:szCs w:val="24"/>
        </w:rPr>
        <w:t>19</w:t>
      </w:r>
      <w:r w:rsidRPr="006E188E">
        <w:rPr>
          <w:rFonts w:ascii="Times New Roman" w:hAnsi="Times New Roman"/>
          <w:sz w:val="24"/>
          <w:szCs w:val="24"/>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 Для предоставления приоритета в документацию о закупке включаются следующие сведения:</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.2.3. Сведения о начальной (максимальной) цене единицы каждого товара, работы, услуги, являющихся предметом закупки.</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 xml:space="preserve">.2.4.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6E188E">
        <w:rPr>
          <w:rFonts w:ascii="Times New Roman" w:eastAsia="Times New Roman" w:hAnsi="Times New Roman" w:cs="Times New Roman"/>
        </w:rPr>
        <w:t>в закупке</w:t>
      </w:r>
      <w:proofErr w:type="gramEnd"/>
      <w:r w:rsidRPr="006E188E">
        <w:rPr>
          <w:rFonts w:ascii="Times New Roman" w:eastAsia="Times New Roman" w:hAnsi="Times New Roman" w:cs="Times New Roman"/>
        </w:rPr>
        <w:t xml:space="preserve"> и такая заявка рассматривается как содержащая предложение о поставке иностранных товаров.</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w:t>
      </w:r>
      <w:r w:rsidRPr="006E188E">
        <w:rPr>
          <w:rFonts w:ascii="Times New Roman" w:hAnsi="Times New Roman" w:cs="Times New Roman"/>
        </w:rPr>
        <w:t>Положения</w:t>
      </w:r>
      <w:r w:rsidRPr="006E188E">
        <w:rPr>
          <w:rFonts w:ascii="Times New Roman" w:hAnsi="Times New Roman"/>
        </w:rPr>
        <w:t xml:space="preserve"> о закупках АО «УК «Жилой дом»</w:t>
      </w:r>
      <w:r w:rsidRPr="006E188E">
        <w:rPr>
          <w:rFonts w:ascii="Times New Roman" w:eastAsia="Times New Roman" w:hAnsi="Times New Roman" w:cs="Times New Roman"/>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Pr="006E188E">
        <w:rPr>
          <w:rFonts w:ascii="Times New Roman" w:hAnsi="Times New Roman" w:cs="Times New Roman"/>
        </w:rPr>
        <w:t>Положения</w:t>
      </w:r>
      <w:r w:rsidRPr="006E188E">
        <w:rPr>
          <w:rFonts w:ascii="Times New Roman" w:hAnsi="Times New Roman"/>
        </w:rPr>
        <w:t xml:space="preserve"> о закупках АО «УК «Жилой дом»</w:t>
      </w:r>
      <w:r w:rsidRPr="006E188E">
        <w:rPr>
          <w:rFonts w:ascii="Times New Roman" w:eastAsia="Times New Roman" w:hAnsi="Times New Roman" w:cs="Times New Roman"/>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 Приоритет не предоставляется в случаях, если:</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.3.1. Закупка признана несостоявшейся и договор заключается с единственным участником закупки.</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E188E" w:rsidRPr="006E188E" w:rsidRDefault="006E188E" w:rsidP="006E188E">
      <w:pPr>
        <w:ind w:firstLine="709"/>
        <w:jc w:val="both"/>
        <w:rPr>
          <w:rFonts w:ascii="Times New Roman" w:eastAsia="Times New Roman" w:hAnsi="Times New Roman" w:cs="Times New Roman"/>
        </w:rPr>
      </w:pPr>
      <w:r>
        <w:rPr>
          <w:rFonts w:ascii="Times New Roman" w:eastAsia="Times New Roman" w:hAnsi="Times New Roman" w:cs="Times New Roman"/>
        </w:rPr>
        <w:t>19</w:t>
      </w:r>
      <w:r w:rsidRPr="006E188E">
        <w:rPr>
          <w:rFonts w:ascii="Times New Roman" w:eastAsia="Times New Roman" w:hAnsi="Times New Roman" w:cs="Times New Roman"/>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E188E" w:rsidRPr="006E188E" w:rsidRDefault="006E188E" w:rsidP="006E188E">
      <w:pPr>
        <w:jc w:val="both"/>
        <w:rPr>
          <w:rFonts w:ascii="Times New Roman" w:eastAsia="Times New Roman" w:hAnsi="Times New Roman" w:cs="Times New Roman"/>
        </w:rPr>
      </w:pPr>
      <w:r w:rsidRPr="006E188E">
        <w:rPr>
          <w:rFonts w:ascii="Times New Roman" w:eastAsia="Times New Roman" w:hAnsi="Times New Roman" w:cs="Times New Roman"/>
        </w:rPr>
        <w:t xml:space="preserve">            </w:t>
      </w:r>
      <w:r>
        <w:rPr>
          <w:rFonts w:ascii="Times New Roman" w:eastAsia="Times New Roman" w:hAnsi="Times New Roman" w:cs="Times New Roman"/>
        </w:rPr>
        <w:t>19</w:t>
      </w:r>
      <w:r w:rsidRPr="006E188E">
        <w:rPr>
          <w:rFonts w:ascii="Times New Roman" w:eastAsia="Times New Roman" w:hAnsi="Times New Roman" w:cs="Times New Roman"/>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6E188E" w:rsidRPr="006E188E" w:rsidRDefault="006E188E" w:rsidP="006E188E">
      <w:pPr>
        <w:pStyle w:val="ConsPlusNormal"/>
        <w:jc w:val="both"/>
        <w:rPr>
          <w:rFonts w:ascii="Times New Roman" w:hAnsi="Times New Roman" w:cs="Times New Roman"/>
          <w:sz w:val="24"/>
          <w:szCs w:val="24"/>
        </w:rPr>
        <w:sectPr w:rsidR="006E188E" w:rsidRPr="006E188E"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1F4651" w:rsidP="00AE4694">
            <w:pPr>
              <w:widowControl w:val="0"/>
              <w:suppressAutoHyphens/>
              <w:autoSpaceDE w:val="0"/>
              <w:jc w:val="both"/>
              <w:rPr>
                <w:rFonts w:ascii="Times New Roman" w:eastAsia="Times New Roman" w:hAnsi="Times New Roman" w:cs="Times New Roman"/>
                <w:u w:val="single"/>
              </w:rPr>
            </w:pPr>
            <w:r w:rsidRPr="00AE4694">
              <w:rPr>
                <w:rFonts w:ascii="Times New Roman" w:eastAsia="Times New Roman" w:hAnsi="Times New Roman" w:cs="Times New Roman"/>
                <w:u w:val="single"/>
              </w:rPr>
              <w:t xml:space="preserve">Поставка </w:t>
            </w:r>
            <w:r w:rsidR="004649C4" w:rsidRPr="004649C4">
              <w:rPr>
                <w:rFonts w:ascii="Times New Roman" w:eastAsia="Times New Roman" w:hAnsi="Times New Roman" w:cs="Times New Roman"/>
                <w:u w:val="single"/>
              </w:rPr>
              <w:t>материала для ремонта межпанельных швов</w:t>
            </w:r>
            <w:r w:rsidR="004649C4">
              <w:rPr>
                <w:rFonts w:ascii="Times New Roman" w:eastAsia="Times New Roman" w:hAnsi="Times New Roman" w:cs="Times New Roman"/>
                <w:u w:val="single"/>
              </w:rPr>
              <w:t xml:space="preserve"> </w:t>
            </w:r>
            <w:r w:rsidR="00E65DAC" w:rsidRPr="00AE4694">
              <w:rPr>
                <w:rFonts w:ascii="Times New Roman" w:eastAsia="Times New Roman" w:hAnsi="Times New Roman" w:cs="Times New Roman"/>
                <w:u w:val="single"/>
              </w:rPr>
              <w:t>для нужд АО «Управляющая компания «Жилой дом» в 2021 год</w:t>
            </w:r>
            <w:r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D23" w:rsidRDefault="001F4651" w:rsidP="003D0D23">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6E188E" w:rsidP="006E188E">
            <w:pPr>
              <w:jc w:val="center"/>
            </w:pPr>
            <w:r>
              <w:rPr>
                <w:rFonts w:ascii="Times New Roman" w:eastAsia="Times New Roman" w:hAnsi="Times New Roman" w:cs="Times New Roman"/>
              </w:rPr>
              <w:t>522 949</w:t>
            </w:r>
            <w:r w:rsidR="008D5FFA">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пять</w:t>
            </w:r>
            <w:r w:rsidR="00AE4694">
              <w:rPr>
                <w:rFonts w:ascii="Times New Roman" w:eastAsia="Times New Roman" w:hAnsi="Times New Roman" w:cs="Times New Roman"/>
              </w:rPr>
              <w:t xml:space="preserve">сот </w:t>
            </w:r>
            <w:r>
              <w:rPr>
                <w:rFonts w:ascii="Times New Roman" w:eastAsia="Times New Roman" w:hAnsi="Times New Roman" w:cs="Times New Roman"/>
              </w:rPr>
              <w:t>двадцать</w:t>
            </w:r>
            <w:r w:rsidR="008D5FFA">
              <w:rPr>
                <w:rFonts w:ascii="Times New Roman" w:eastAsia="Times New Roman" w:hAnsi="Times New Roman" w:cs="Times New Roman"/>
              </w:rPr>
              <w:t xml:space="preserve"> </w:t>
            </w:r>
            <w:r>
              <w:rPr>
                <w:rFonts w:ascii="Times New Roman" w:eastAsia="Times New Roman" w:hAnsi="Times New Roman" w:cs="Times New Roman"/>
              </w:rPr>
              <w:t xml:space="preserve">две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сяч</w:t>
            </w:r>
            <w:r>
              <w:rPr>
                <w:rFonts w:ascii="Times New Roman" w:eastAsia="Times New Roman" w:hAnsi="Times New Roman" w:cs="Times New Roman"/>
              </w:rPr>
              <w:t>и</w:t>
            </w:r>
            <w:r w:rsidR="0000735C">
              <w:rPr>
                <w:rFonts w:ascii="Times New Roman" w:eastAsia="Times New Roman" w:hAnsi="Times New Roman" w:cs="Times New Roman"/>
              </w:rPr>
              <w:t xml:space="preserve"> </w:t>
            </w:r>
            <w:r>
              <w:rPr>
                <w:rFonts w:ascii="Times New Roman" w:eastAsia="Times New Roman" w:hAnsi="Times New Roman" w:cs="Times New Roman"/>
              </w:rPr>
              <w:t>девя</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Pr>
                <w:rFonts w:ascii="Times New Roman" w:eastAsia="Times New Roman" w:hAnsi="Times New Roman" w:cs="Times New Roman"/>
              </w:rPr>
              <w:t>сорок девять</w:t>
            </w:r>
            <w:r w:rsidR="0000735C">
              <w:rPr>
                <w:rFonts w:ascii="Times New Roman" w:eastAsia="Times New Roman" w:hAnsi="Times New Roman" w:cs="Times New Roman"/>
              </w:rPr>
              <w:t>) рубл</w:t>
            </w:r>
            <w:r w:rsidR="008D5FFA">
              <w:rPr>
                <w:rFonts w:ascii="Times New Roman" w:eastAsia="Times New Roman" w:hAnsi="Times New Roman" w:cs="Times New Roman"/>
              </w:rPr>
              <w:t>ей</w:t>
            </w:r>
            <w:r w:rsidR="0000735C">
              <w:rPr>
                <w:rFonts w:ascii="Times New Roman" w:eastAsia="Times New Roman" w:hAnsi="Times New Roman" w:cs="Times New Roman"/>
              </w:rPr>
              <w:t xml:space="preserve"> </w:t>
            </w:r>
            <w:r>
              <w:rPr>
                <w:rFonts w:ascii="Times New Roman" w:eastAsia="Times New Roman" w:hAnsi="Times New Roman" w:cs="Times New Roman"/>
              </w:rPr>
              <w:t>5</w:t>
            </w:r>
            <w:r w:rsidR="003D0D23">
              <w:rPr>
                <w:rFonts w:ascii="Times New Roman" w:eastAsia="Times New Roman" w:hAnsi="Times New Roman" w:cs="Times New Roman"/>
              </w:rPr>
              <w:t>0</w:t>
            </w:r>
            <w:r w:rsidR="001F4651" w:rsidRPr="00A774F1">
              <w:rPr>
                <w:rFonts w:ascii="Times New Roman" w:eastAsia="Times New Roman" w:hAnsi="Times New Roman" w:cs="Times New Roman"/>
              </w:rPr>
              <w:t xml:space="preserve"> копе</w:t>
            </w:r>
            <w:r w:rsidR="003D0D23">
              <w:rPr>
                <w:rFonts w:ascii="Times New Roman" w:eastAsia="Times New Roman" w:hAnsi="Times New Roman" w:cs="Times New Roman"/>
              </w:rPr>
              <w:t>е</w:t>
            </w:r>
            <w:r w:rsidR="001F4651" w:rsidRPr="00A774F1">
              <w:rPr>
                <w:rFonts w:ascii="Times New Roman" w:eastAsia="Times New Roman" w:hAnsi="Times New Roman" w:cs="Times New Roman"/>
              </w:rPr>
              <w:t>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8E3A71" w:rsidRDefault="008E3A71" w:rsidP="008E3A71">
            <w:pPr>
              <w:tabs>
                <w:tab w:val="left" w:pos="743"/>
                <w:tab w:val="left" w:pos="1451"/>
              </w:tabs>
              <w:suppressAutoHyphens/>
              <w:spacing w:after="60"/>
              <w:contextualSpacing/>
              <w:jc w:val="both"/>
              <w:rPr>
                <w:rFonts w:ascii="Times New Roman" w:hAnsi="Times New Roman" w:cs="Times New Roman"/>
                <w:i/>
                <w:color w:val="00000A"/>
              </w:rPr>
            </w:pPr>
            <w:r w:rsidRPr="008E3A71">
              <w:rPr>
                <w:rFonts w:ascii="Times New Roman" w:hAnsi="Times New Roman" w:cs="Times New Roman"/>
                <w:i/>
                <w:color w:val="00000A"/>
              </w:rPr>
              <w:t xml:space="preserve">В соответствии с Постановлением Правительства Российской Федерации от 16.09.2016 г. № 925 при проведении </w:t>
            </w:r>
            <w:r>
              <w:rPr>
                <w:rFonts w:ascii="Times New Roman" w:hAnsi="Times New Roman" w:cs="Times New Roman"/>
                <w:i/>
                <w:color w:val="00000A"/>
              </w:rPr>
              <w:t>запроса котировок</w:t>
            </w:r>
            <w:r w:rsidRPr="008E3A71">
              <w:rPr>
                <w:rFonts w:ascii="Times New Roman" w:hAnsi="Times New Roman" w:cs="Times New Roman"/>
                <w:i/>
                <w:color w:val="00000A"/>
              </w:rPr>
              <w:t xml:space="preserve"> в электронной форме 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6E188E">
              <w:rPr>
                <w:rFonts w:ascii="Times New Roman" w:hAnsi="Times New Roman" w:cs="Times New Roman"/>
                <w:color w:val="auto"/>
              </w:rPr>
              <w:t>0</w:t>
            </w:r>
            <w:r w:rsidR="0009699C">
              <w:rPr>
                <w:rFonts w:ascii="Times New Roman" w:hAnsi="Times New Roman" w:cs="Times New Roman"/>
                <w:color w:val="auto"/>
              </w:rPr>
              <w:t>3</w:t>
            </w:r>
            <w:r w:rsidRPr="00192FE7">
              <w:rPr>
                <w:rFonts w:ascii="Times New Roman" w:eastAsia="Times New Roman" w:hAnsi="Times New Roman"/>
                <w:color w:val="auto"/>
              </w:rPr>
              <w:t xml:space="preserve">» </w:t>
            </w:r>
            <w:r w:rsidR="006E188E">
              <w:rPr>
                <w:rFonts w:ascii="Times New Roman" w:eastAsia="Times New Roman" w:hAnsi="Times New Roman"/>
                <w:color w:val="auto"/>
              </w:rPr>
              <w:t>июн</w:t>
            </w:r>
            <w:r w:rsidR="00D34C1E">
              <w:rPr>
                <w:rFonts w:ascii="Times New Roman" w:eastAsia="Times New Roman" w:hAnsi="Times New Roman"/>
                <w:color w:val="auto"/>
              </w:rPr>
              <w:t>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09699C">
            <w:pPr>
              <w:jc w:val="both"/>
              <w:rPr>
                <w:rFonts w:ascii="Times New Roman" w:hAnsi="Times New Roman" w:cs="Times New Roman"/>
              </w:rPr>
            </w:pPr>
            <w:r w:rsidRPr="00FF000C">
              <w:rPr>
                <w:rFonts w:ascii="Times New Roman" w:hAnsi="Times New Roman" w:cs="Times New Roman"/>
                <w:color w:val="auto"/>
              </w:rPr>
              <w:t>«</w:t>
            </w:r>
            <w:r w:rsidR="00100113">
              <w:rPr>
                <w:rFonts w:ascii="Times New Roman" w:hAnsi="Times New Roman" w:cs="Times New Roman"/>
                <w:color w:val="auto"/>
              </w:rPr>
              <w:t>0</w:t>
            </w:r>
            <w:r w:rsidR="0009699C">
              <w:rPr>
                <w:rFonts w:ascii="Times New Roman" w:hAnsi="Times New Roman" w:cs="Times New Roman"/>
                <w:color w:val="auto"/>
              </w:rPr>
              <w:t>7</w:t>
            </w:r>
            <w:r w:rsidRPr="00FF000C">
              <w:rPr>
                <w:rFonts w:ascii="Times New Roman" w:eastAsia="Times New Roman" w:hAnsi="Times New Roman"/>
                <w:color w:val="auto"/>
              </w:rPr>
              <w:t xml:space="preserve">» </w:t>
            </w:r>
            <w:r w:rsidR="006E188E">
              <w:rPr>
                <w:rFonts w:ascii="Times New Roman" w:eastAsia="Times New Roman" w:hAnsi="Times New Roman"/>
                <w:color w:val="auto"/>
              </w:rPr>
              <w:t>июня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6E188E">
              <w:rPr>
                <w:rFonts w:ascii="Times New Roman" w:eastAsia="Times New Roman" w:hAnsi="Times New Roman" w:cs="Times New Roman"/>
                <w:color w:val="auto"/>
              </w:rPr>
              <w:t>17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6E188E">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6E188E">
              <w:rPr>
                <w:rFonts w:ascii="Times New Roman" w:hAnsi="Times New Roman" w:cs="Times New Roman"/>
                <w:color w:val="auto"/>
              </w:rPr>
              <w:t>0</w:t>
            </w:r>
            <w:r w:rsidR="0009699C">
              <w:rPr>
                <w:rFonts w:ascii="Times New Roman" w:hAnsi="Times New Roman" w:cs="Times New Roman"/>
                <w:color w:val="auto"/>
              </w:rPr>
              <w:t>3</w:t>
            </w:r>
            <w:r w:rsidRPr="00192FE7">
              <w:rPr>
                <w:rFonts w:ascii="Times New Roman" w:eastAsia="Times New Roman" w:hAnsi="Times New Roman"/>
                <w:color w:val="auto"/>
              </w:rPr>
              <w:t xml:space="preserve">» </w:t>
            </w:r>
            <w:r w:rsidR="006E188E">
              <w:rPr>
                <w:rFonts w:ascii="Times New Roman" w:eastAsia="Times New Roman" w:hAnsi="Times New Roman"/>
                <w:color w:val="auto"/>
              </w:rPr>
              <w:t>июня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09699C">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09699C">
              <w:rPr>
                <w:rFonts w:ascii="Times New Roman" w:hAnsi="Times New Roman" w:cs="Times New Roman"/>
                <w:color w:val="auto"/>
              </w:rPr>
              <w:t>1</w:t>
            </w:r>
            <w:r w:rsidR="006E188E">
              <w:rPr>
                <w:rFonts w:ascii="Times New Roman" w:hAnsi="Times New Roman" w:cs="Times New Roman"/>
                <w:color w:val="auto"/>
              </w:rPr>
              <w:t>0</w:t>
            </w:r>
            <w:r w:rsidR="00F3435F" w:rsidRPr="00FF000C">
              <w:rPr>
                <w:rFonts w:ascii="Times New Roman" w:eastAsia="Times New Roman" w:hAnsi="Times New Roman"/>
                <w:color w:val="auto"/>
              </w:rPr>
              <w:t xml:space="preserve">» </w:t>
            </w:r>
            <w:r w:rsidR="006E188E">
              <w:rPr>
                <w:rFonts w:ascii="Times New Roman" w:eastAsia="Times New Roman" w:hAnsi="Times New Roman"/>
                <w:color w:val="auto"/>
              </w:rPr>
              <w:t>июня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09699C">
              <w:rPr>
                <w:rFonts w:ascii="Times New Roman" w:hAnsi="Times New Roman" w:cs="Times New Roman"/>
                <w:color w:val="auto"/>
              </w:rPr>
              <w:t>11</w:t>
            </w:r>
            <w:r w:rsidRPr="000868B7">
              <w:rPr>
                <w:rFonts w:ascii="Times New Roman" w:eastAsia="Times New Roman" w:hAnsi="Times New Roman"/>
                <w:color w:val="auto"/>
              </w:rPr>
              <w:t xml:space="preserve">» </w:t>
            </w:r>
            <w:r w:rsidR="006E188E">
              <w:rPr>
                <w:rFonts w:ascii="Times New Roman" w:eastAsia="Times New Roman" w:hAnsi="Times New Roman"/>
                <w:color w:val="auto"/>
              </w:rPr>
              <w:t>июня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09699C">
            <w:pPr>
              <w:rPr>
                <w:rFonts w:ascii="Times New Roman" w:hAnsi="Times New Roman" w:cs="Times New Roman"/>
                <w:color w:val="auto"/>
              </w:rPr>
            </w:pPr>
            <w:r w:rsidRPr="000868B7">
              <w:rPr>
                <w:rFonts w:ascii="Times New Roman" w:hAnsi="Times New Roman" w:cs="Times New Roman"/>
                <w:color w:val="auto"/>
              </w:rPr>
              <w:t>«</w:t>
            </w:r>
            <w:r w:rsidR="0009699C">
              <w:rPr>
                <w:rFonts w:ascii="Times New Roman" w:hAnsi="Times New Roman" w:cs="Times New Roman"/>
                <w:color w:val="auto"/>
              </w:rPr>
              <w:t>11</w:t>
            </w:r>
            <w:bookmarkStart w:id="325" w:name="_GoBack"/>
            <w:bookmarkEnd w:id="325"/>
            <w:r w:rsidRPr="000868B7">
              <w:rPr>
                <w:rFonts w:ascii="Times New Roman" w:eastAsia="Times New Roman" w:hAnsi="Times New Roman"/>
                <w:color w:val="auto"/>
              </w:rPr>
              <w:t>»</w:t>
            </w:r>
            <w:r w:rsidR="00AA049D">
              <w:rPr>
                <w:rFonts w:ascii="Times New Roman" w:eastAsia="Times New Roman" w:hAnsi="Times New Roman"/>
                <w:color w:val="auto"/>
              </w:rPr>
              <w:t xml:space="preserve"> </w:t>
            </w:r>
            <w:r w:rsidR="006E188E">
              <w:rPr>
                <w:rFonts w:ascii="Times New Roman" w:eastAsia="Times New Roman" w:hAnsi="Times New Roman"/>
                <w:color w:val="auto"/>
              </w:rPr>
              <w:t>июня</w:t>
            </w:r>
            <w:r w:rsidR="00EB358B">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6E188E">
              <w:rPr>
                <w:rFonts w:ascii="Times New Roman" w:hAnsi="Times New Roman" w:cs="Times New Roman"/>
                <w:color w:val="auto"/>
              </w:rPr>
              <w:t>26</w:t>
            </w:r>
            <w:r w:rsidRPr="00EC29E8">
              <w:rPr>
                <w:rFonts w:ascii="Times New Roman" w:hAnsi="Times New Roman" w:cs="Times New Roman"/>
              </w:rPr>
              <w:t xml:space="preserve"> </w:t>
            </w:r>
            <w:r w:rsidR="006E188E">
              <w:rPr>
                <w:rFonts w:ascii="Times New Roman" w:hAnsi="Times New Roman" w:cs="Times New Roman"/>
              </w:rPr>
              <w:t>147</w:t>
            </w:r>
            <w:r>
              <w:rPr>
                <w:rFonts w:ascii="Times New Roman" w:hAnsi="Times New Roman" w:cs="Times New Roman"/>
              </w:rPr>
              <w:t xml:space="preserve"> (</w:t>
            </w:r>
            <w:r w:rsidR="006E188E">
              <w:rPr>
                <w:rFonts w:ascii="Times New Roman" w:hAnsi="Times New Roman" w:cs="Times New Roman"/>
              </w:rPr>
              <w:t>двадцать шесть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6E188E">
              <w:rPr>
                <w:rFonts w:ascii="Times New Roman" w:hAnsi="Times New Roman" w:cs="Times New Roman"/>
              </w:rPr>
              <w:t>сто сорок семь</w:t>
            </w:r>
            <w:r w:rsidRPr="00EC29E8">
              <w:rPr>
                <w:rFonts w:ascii="Times New Roman" w:hAnsi="Times New Roman" w:cs="Times New Roman"/>
              </w:rPr>
              <w:t>) рубл</w:t>
            </w:r>
            <w:r w:rsidR="00AA049D">
              <w:rPr>
                <w:rFonts w:ascii="Times New Roman" w:hAnsi="Times New Roman" w:cs="Times New Roman"/>
              </w:rPr>
              <w:t>ей</w:t>
            </w:r>
            <w:r w:rsidRPr="00EC29E8">
              <w:rPr>
                <w:rFonts w:ascii="Times New Roman" w:hAnsi="Times New Roman" w:cs="Times New Roman"/>
              </w:rPr>
              <w:t xml:space="preserve"> </w:t>
            </w:r>
            <w:r w:rsidR="006E188E">
              <w:rPr>
                <w:rFonts w:ascii="Times New Roman" w:hAnsi="Times New Roman" w:cs="Times New Roman"/>
              </w:rPr>
              <w:t>47</w:t>
            </w:r>
            <w:r w:rsidR="00AA049D">
              <w:rPr>
                <w:rFonts w:ascii="Times New Roman" w:hAnsi="Times New Roman" w:cs="Times New Roman"/>
              </w:rPr>
              <w:t xml:space="preserve"> к</w:t>
            </w:r>
            <w:r w:rsidRPr="00EC29E8">
              <w:rPr>
                <w:rFonts w:ascii="Times New Roman" w:hAnsi="Times New Roman" w:cs="Times New Roman"/>
              </w:rPr>
              <w:t>опе</w:t>
            </w:r>
            <w:r w:rsidR="008D5FFA">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4649C4">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4649C4" w:rsidRPr="004649C4">
              <w:rPr>
                <w:rFonts w:ascii="Times New Roman" w:eastAsiaTheme="minorEastAsia" w:hAnsi="Times New Roman" w:cs="Times New Roman"/>
                <w:color w:val="auto"/>
              </w:rPr>
              <w:t>материала для ремонта межпанельных швов</w:t>
            </w:r>
            <w:r w:rsidR="006E188E" w:rsidRPr="006E188E">
              <w:rPr>
                <w:rFonts w:ascii="Times New Roman" w:eastAsiaTheme="minorEastAsia" w:hAnsi="Times New Roman" w:cs="Times New Roman"/>
                <w:color w:val="auto"/>
              </w:rPr>
              <w:t xml:space="preserve"> </w:t>
            </w:r>
            <w:r w:rsidR="00F109BE" w:rsidRPr="00F109BE">
              <w:rPr>
                <w:rFonts w:ascii="Times New Roman" w:eastAsiaTheme="minorEastAsia" w:hAnsi="Times New Roman" w:cs="Times New Roman"/>
                <w:color w:val="auto"/>
              </w:rPr>
              <w:t>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C1E" w:rsidRDefault="00D34C1E">
      <w:r>
        <w:separator/>
      </w:r>
    </w:p>
  </w:endnote>
  <w:endnote w:type="continuationSeparator" w:id="0">
    <w:p w:rsidR="00D34C1E" w:rsidRDefault="00D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E37A32">
    <w:pPr>
      <w:pStyle w:val="3c"/>
      <w:framePr w:wrap="around" w:vAnchor="text" w:hAnchor="margin" w:xAlign="right" w:y="1"/>
    </w:pPr>
    <w:r>
      <w:fldChar w:fldCharType="begin"/>
    </w:r>
    <w:r>
      <w:instrText xml:space="preserve">PAGE  </w:instrText>
    </w:r>
    <w:r>
      <w:fldChar w:fldCharType="end"/>
    </w:r>
  </w:p>
  <w:p w:rsidR="00D34C1E" w:rsidRDefault="00D34C1E"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E37A32">
    <w:pPr>
      <w:pStyle w:val="3c"/>
      <w:framePr w:wrap="around" w:vAnchor="text" w:hAnchor="margin" w:xAlign="right" w:y="1"/>
    </w:pPr>
    <w:r>
      <w:fldChar w:fldCharType="begin"/>
    </w:r>
    <w:r>
      <w:instrText xml:space="preserve">PAGE  </w:instrText>
    </w:r>
    <w:r>
      <w:fldChar w:fldCharType="separate"/>
    </w:r>
    <w:r w:rsidR="0009699C">
      <w:rPr>
        <w:noProof/>
      </w:rPr>
      <w:t>33</w:t>
    </w:r>
    <w:r>
      <w:rPr>
        <w:noProof/>
      </w:rPr>
      <w:fldChar w:fldCharType="end"/>
    </w:r>
  </w:p>
  <w:p w:rsidR="00D34C1E" w:rsidRDefault="00D34C1E"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C1E" w:rsidRDefault="00D34C1E">
      <w:r>
        <w:separator/>
      </w:r>
    </w:p>
  </w:footnote>
  <w:footnote w:type="continuationSeparator" w:id="0">
    <w:p w:rsidR="00D34C1E" w:rsidRDefault="00D34C1E">
      <w:r>
        <w:continuationSeparator/>
      </w:r>
    </w:p>
  </w:footnote>
  <w:footnote w:id="1">
    <w:p w:rsidR="00D34C1E" w:rsidRPr="00C349BB" w:rsidRDefault="00D34C1E"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D34C1E" w:rsidRPr="00BB507F" w:rsidRDefault="00D34C1E"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D34C1E" w:rsidRPr="00711EA6" w:rsidRDefault="00D34C1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D34C1E" w:rsidRPr="00711EA6" w:rsidRDefault="00D34C1E"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D34C1E" w:rsidRPr="00EB42EB" w:rsidRDefault="00D34C1E"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D34C1E" w:rsidRPr="00EB42EB" w:rsidRDefault="00D34C1E"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D34C1E" w:rsidRPr="00FF7C44" w:rsidRDefault="00D34C1E">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9699C">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Pr="00BF790E" w:rsidRDefault="00D34C1E"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Default="00D34C1E">
    <w:pPr>
      <w:pStyle w:val="afff9"/>
      <w:framePr w:wrap="around" w:vAnchor="text" w:hAnchor="margin" w:xAlign="center" w:y="1"/>
    </w:pPr>
    <w:r>
      <w:fldChar w:fldCharType="begin"/>
    </w:r>
    <w:r>
      <w:instrText xml:space="preserve">PAGE  </w:instrText>
    </w:r>
    <w:r>
      <w:fldChar w:fldCharType="end"/>
    </w:r>
  </w:p>
  <w:p w:rsidR="00D34C1E" w:rsidRDefault="00D34C1E">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1E" w:rsidRPr="00E72FCC" w:rsidRDefault="00D34C1E"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99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AFC"/>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113"/>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97F97"/>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471"/>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0D23"/>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9C4"/>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8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188E"/>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6113"/>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5FFA"/>
    <w:rsid w:val="008D66D6"/>
    <w:rsid w:val="008D6DAE"/>
    <w:rsid w:val="008D74E7"/>
    <w:rsid w:val="008D7813"/>
    <w:rsid w:val="008E05BA"/>
    <w:rsid w:val="008E1B2B"/>
    <w:rsid w:val="008E2346"/>
    <w:rsid w:val="008E2869"/>
    <w:rsid w:val="008E31BC"/>
    <w:rsid w:val="008E330E"/>
    <w:rsid w:val="008E3A71"/>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049D"/>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4C1E"/>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70AA9-EF0D-4445-903B-191185C7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38</Pages>
  <Words>12806</Words>
  <Characters>72998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85633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34</cp:revision>
  <cp:lastPrinted>2020-10-20T10:46:00Z</cp:lastPrinted>
  <dcterms:created xsi:type="dcterms:W3CDTF">2020-09-22T08:48:00Z</dcterms:created>
  <dcterms:modified xsi:type="dcterms:W3CDTF">2021-06-02T11:40:00Z</dcterms:modified>
</cp:coreProperties>
</file>