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FC04D9">
        <w:rPr>
          <w:b/>
        </w:rPr>
        <w:t>приобретение оконных блоков ПВХ</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FF06DC" w:rsidRPr="00FF06DC">
        <w:rPr>
          <w:i/>
        </w:rPr>
        <w:t>муниципального автономного дошкольного образовательного учреждения «Михневский центр развития ребёнка - детский сад «Осинка» городского</w:t>
      </w:r>
      <w:r w:rsidR="00FF06DC" w:rsidRPr="00FF06DC">
        <w:rPr>
          <w:rFonts w:ascii="Arial" w:hAnsi="Arial" w:cs="Arial"/>
          <w:i/>
          <w:color w:val="0C0E31"/>
          <w:shd w:val="clear" w:color="auto" w:fill="FFFFFF"/>
        </w:rPr>
        <w:t xml:space="preserve"> </w:t>
      </w:r>
      <w:r w:rsidR="00FF06DC" w:rsidRPr="00FF06DC">
        <w:rPr>
          <w:i/>
        </w:rPr>
        <w:t>округа Ступино Московской области</w:t>
      </w:r>
      <w:r w:rsidR="00D55275">
        <w:rPr>
          <w:i/>
        </w:rPr>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D55275" w:rsidP="00276EE1">
            <w:pPr>
              <w:rPr>
                <w:i/>
              </w:rPr>
            </w:pPr>
            <w:r w:rsidRPr="00D55275">
              <w:rPr>
                <w:i/>
              </w:rPr>
              <w:t xml:space="preserve">МАДОУ </w:t>
            </w:r>
            <w:r w:rsidR="00276EE1">
              <w:rPr>
                <w:i/>
              </w:rPr>
              <w:t>Михневский ЦРР-д/с</w:t>
            </w:r>
            <w:r w:rsidRPr="00D55275">
              <w:rPr>
                <w:i/>
              </w:rPr>
              <w:t xml:space="preserve"> «</w:t>
            </w:r>
            <w:r w:rsidR="00276EE1">
              <w:rPr>
                <w:i/>
              </w:rPr>
              <w:t>Осинка</w:t>
            </w:r>
            <w:r w:rsidRPr="00D55275">
              <w:rPr>
                <w:i/>
              </w:rPr>
              <w:t>»</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3B34BE" w:rsidP="00856004">
            <w:pPr>
              <w:spacing w:line="312" w:lineRule="auto"/>
              <w:ind w:right="137"/>
              <w:jc w:val="both"/>
              <w:rPr>
                <w:color w:val="000000" w:themeColor="text1"/>
              </w:rPr>
            </w:pPr>
            <w:r w:rsidRPr="003B34BE">
              <w:rPr>
                <w:b/>
                <w:color w:val="000000" w:themeColor="text1"/>
              </w:rPr>
              <w:t>Место нахождения:</w:t>
            </w:r>
            <w:r>
              <w:rPr>
                <w:color w:val="000000" w:themeColor="text1"/>
              </w:rPr>
              <w:t xml:space="preserve"> </w:t>
            </w:r>
            <w:r w:rsidR="00340A0A" w:rsidRPr="00E25558">
              <w:t>142840, Московск</w:t>
            </w:r>
            <w:r w:rsidR="00340A0A">
              <w:t>ая область, г.о Ступино</w:t>
            </w:r>
            <w:r w:rsidR="00340A0A" w:rsidRPr="00E25558">
              <w:t xml:space="preserve"> рабочий поселок Михнево, Библиотечная улица, 20б</w:t>
            </w:r>
            <w:r>
              <w:t>;</w:t>
            </w:r>
          </w:p>
          <w:p w:rsidR="00856004" w:rsidRPr="00021009" w:rsidRDefault="00856004" w:rsidP="00856004">
            <w:pPr>
              <w:spacing w:line="312" w:lineRule="auto"/>
              <w:ind w:right="137"/>
              <w:jc w:val="both"/>
              <w:rPr>
                <w:color w:val="000000" w:themeColor="text1"/>
              </w:rPr>
            </w:pPr>
            <w:r w:rsidRPr="003B34BE">
              <w:rPr>
                <w:b/>
                <w:color w:val="000000" w:themeColor="text1"/>
              </w:rPr>
              <w:t>Почтовый адрес:</w:t>
            </w:r>
            <w:r w:rsidR="00E87C7C">
              <w:rPr>
                <w:color w:val="000000" w:themeColor="text1"/>
              </w:rPr>
              <w:t xml:space="preserve"> </w:t>
            </w:r>
            <w:r w:rsidR="00340A0A" w:rsidRPr="00E25558">
              <w:t>142840, Московск</w:t>
            </w:r>
            <w:r w:rsidR="00340A0A">
              <w:t>ая область, г.о Ступино</w:t>
            </w:r>
            <w:r w:rsidR="00340A0A" w:rsidRPr="00E25558">
              <w:t xml:space="preserve"> рабочий поселок Михнево, Библиотечная улица, 20б</w:t>
            </w:r>
            <w:r w:rsidR="00340A0A" w:rsidRPr="00C07C97">
              <w:t>.</w:t>
            </w:r>
            <w:r w:rsidR="00E25558">
              <w:t>;</w:t>
            </w:r>
          </w:p>
          <w:p w:rsidR="00BA2DE6" w:rsidRPr="003B34BE" w:rsidRDefault="00325313" w:rsidP="00325313">
            <w:pPr>
              <w:spacing w:line="312" w:lineRule="auto"/>
              <w:ind w:right="137"/>
              <w:jc w:val="both"/>
              <w:rPr>
                <w:b/>
              </w:rPr>
            </w:pPr>
            <w:r w:rsidRPr="003B34BE">
              <w:rPr>
                <w:b/>
                <w:color w:val="000000" w:themeColor="text1"/>
              </w:rPr>
              <w:t>Электронная почта</w:t>
            </w:r>
            <w:r w:rsidRPr="00DA2DAE">
              <w:rPr>
                <w:b/>
                <w:color w:val="000000" w:themeColor="text1"/>
              </w:rPr>
              <w:t>:</w:t>
            </w:r>
            <w:r w:rsidR="003B34BE" w:rsidRPr="00DA2DAE">
              <w:rPr>
                <w:b/>
                <w:color w:val="000000" w:themeColor="text1"/>
              </w:rPr>
              <w:t xml:space="preserve"> </w:t>
            </w:r>
            <w:hyperlink r:id="rId8" w:history="1">
              <w:r w:rsidR="00E25558" w:rsidRPr="00DA2DAE">
                <w:rPr>
                  <w:rStyle w:val="a5"/>
                </w:rPr>
                <w:t>dsosinka@yandex.ru</w:t>
              </w:r>
            </w:hyperlink>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8185F" w:rsidRDefault="00276EE1" w:rsidP="00432D0C">
            <w:pPr>
              <w:jc w:val="both"/>
            </w:pPr>
            <w:r w:rsidRPr="00DA2DAE">
              <w:t>8 (496) 646-63-28</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A556B4">
              <w:t>ООО «</w:t>
            </w:r>
            <w:r w:rsidRPr="00021009">
              <w:t>Единая система торговых процедур</w:t>
            </w:r>
            <w:r w:rsidR="00A556B4">
              <w:t>»</w:t>
            </w:r>
            <w:r w:rsidRPr="00021009">
              <w:t>):</w:t>
            </w:r>
          </w:p>
          <w:bookmarkStart w:id="23" w:name="_GoBack"/>
          <w:p w:rsidR="0062729A" w:rsidRPr="00021009" w:rsidRDefault="00CE6155" w:rsidP="0062729A">
            <w:pPr>
              <w:jc w:val="both"/>
              <w:rPr>
                <w:rStyle w:val="a5"/>
                <w:lang w:val="en-US"/>
              </w:rPr>
            </w:pPr>
            <w:r>
              <w:fldChar w:fldCharType="begin"/>
            </w:r>
            <w:r>
              <w:instrText xml:space="preserve"> HYPERLINK "http://estp.ru" </w:instrText>
            </w:r>
            <w:r>
              <w:fldChar w:fldCharType="separate"/>
            </w:r>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r>
              <w:rPr>
                <w:rStyle w:val="a5"/>
                <w:lang w:val="en-US"/>
              </w:rPr>
              <w:fldChar w:fldCharType="end"/>
            </w:r>
          </w:p>
          <w:bookmarkEnd w:id="23"/>
          <w:p w:rsidR="0062729A" w:rsidRPr="00021009" w:rsidRDefault="0062729A" w:rsidP="006E2DFA"/>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82CF5" w:rsidRDefault="00582CF5" w:rsidP="00856004">
            <w:r w:rsidRPr="00DA2DAE">
              <w:t xml:space="preserve">за счет средств бюджета </w:t>
            </w:r>
            <w:r w:rsidR="00DA2DAE" w:rsidRPr="00DA2DAE">
              <w:t>городского округа Ступино</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E601A" w:rsidRDefault="00CE601A" w:rsidP="00CE601A">
            <w:pPr>
              <w:pStyle w:val="a8"/>
              <w:shd w:val="clear" w:color="auto" w:fill="FFFFFF"/>
              <w:spacing w:before="0" w:beforeAutospacing="0" w:after="0" w:afterAutospacing="0"/>
            </w:pPr>
            <w:r w:rsidRPr="00CE601A">
              <w:t>Приобретение оконных блоков ПВХ</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E601A" w:rsidRDefault="00CE601A" w:rsidP="005C2C66">
            <w:pPr>
              <w:jc w:val="both"/>
            </w:pPr>
            <w:r w:rsidRPr="00CE601A">
              <w:t xml:space="preserve">142840, Московская область, г/о Ступино, р.п. Михнево, ул. Библиотечная, вл. 20 б. </w:t>
            </w:r>
            <w:r w:rsidRPr="00CE601A">
              <w:rPr>
                <w:color w:val="00000A"/>
              </w:rPr>
              <w:t>Адрес может быть изменен Заказчиком при условии уведомления Поставщика в срок, установленный в пункте 5.2.5 Договора.</w:t>
            </w:r>
          </w:p>
        </w:tc>
      </w:tr>
      <w:tr w:rsidR="000D1EF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объема выполняемой </w:t>
            </w:r>
            <w:r w:rsidRPr="00021009">
              <w:lastRenderedPageBreak/>
              <w:t>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Default="000D1EFC" w:rsidP="005C2C66">
            <w:pPr>
              <w:jc w:val="both"/>
            </w:pPr>
            <w:r w:rsidRPr="00021009">
              <w:lastRenderedPageBreak/>
              <w:t>Согласно (Приложение №1 к Договору) и Приложению №2 к извещению о проведении запроса котировок в электронной форме (проект договора)</w:t>
            </w:r>
            <w:r w:rsidR="000C7389">
              <w:t>.</w:t>
            </w:r>
          </w:p>
          <w:p w:rsidR="000C7389" w:rsidRPr="00021009" w:rsidRDefault="000C7389" w:rsidP="005C2C66">
            <w:pPr>
              <w:jc w:val="both"/>
            </w:pPr>
            <w:r>
              <w:lastRenderedPageBreak/>
              <w:t>Краткое описание предмета закупки, приведено в разделе Технического задания.</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4" w:name="OLE_LINK4"/>
            <w:bookmarkStart w:id="25"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4"/>
            <w:bookmarkEnd w:id="25"/>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021009" w:rsidRDefault="00DA2DAE" w:rsidP="004C3CF6">
            <w:pPr>
              <w:jc w:val="both"/>
              <w:rPr>
                <w:rFonts w:eastAsia="Arial" w:cs="Arial"/>
                <w:b/>
                <w:shd w:val="clear" w:color="auto" w:fill="FFFFFF"/>
                <w:lang w:eastAsia="ar-SA"/>
              </w:rPr>
            </w:pPr>
            <w:r w:rsidRPr="00DA2DAE">
              <w:rPr>
                <w:rFonts w:eastAsia="Arial" w:cs="Arial"/>
                <w:b/>
                <w:shd w:val="clear" w:color="auto" w:fill="FFFFFF"/>
                <w:lang w:eastAsia="ar-SA"/>
              </w:rPr>
              <w:t>360 000</w:t>
            </w:r>
            <w:r w:rsidR="00582CF5" w:rsidRPr="00DA2DAE">
              <w:rPr>
                <w:rFonts w:eastAsia="Arial" w:cs="Arial"/>
                <w:b/>
                <w:shd w:val="clear" w:color="auto" w:fill="FFFFFF"/>
                <w:lang w:eastAsia="ar-SA"/>
              </w:rPr>
              <w:t xml:space="preserve"> </w:t>
            </w:r>
            <w:r w:rsidR="00856004" w:rsidRPr="00DA2DAE">
              <w:rPr>
                <w:rFonts w:eastAsia="Arial" w:cs="Arial"/>
                <w:b/>
                <w:i/>
                <w:shd w:val="clear" w:color="auto" w:fill="FFFFFF"/>
                <w:lang w:eastAsia="ar-SA"/>
              </w:rPr>
              <w:t>(</w:t>
            </w:r>
            <w:r w:rsidRPr="00DA2DAE">
              <w:rPr>
                <w:rFonts w:eastAsia="Arial" w:cs="Arial"/>
                <w:b/>
                <w:i/>
                <w:shd w:val="clear" w:color="auto" w:fill="FFFFFF"/>
                <w:lang w:eastAsia="ar-SA"/>
              </w:rPr>
              <w:t>Триста шестьдесят</w:t>
            </w:r>
            <w:r w:rsidR="00E87C7C" w:rsidRPr="00DA2DAE">
              <w:rPr>
                <w:rFonts w:eastAsia="Arial" w:cs="Arial"/>
                <w:b/>
                <w:i/>
                <w:shd w:val="clear" w:color="auto" w:fill="FFFFFF"/>
                <w:lang w:eastAsia="ar-SA"/>
              </w:rPr>
              <w:t xml:space="preserve"> </w:t>
            </w:r>
            <w:r w:rsidRPr="00DA2DAE">
              <w:rPr>
                <w:rFonts w:eastAsia="Arial" w:cs="Arial"/>
                <w:b/>
                <w:i/>
                <w:shd w:val="clear" w:color="auto" w:fill="FFFFFF"/>
                <w:lang w:eastAsia="ar-SA"/>
              </w:rPr>
              <w:t>тысяч</w:t>
            </w:r>
            <w:r w:rsidR="00856004" w:rsidRPr="00DA2DAE">
              <w:rPr>
                <w:rFonts w:eastAsia="Arial" w:cs="Arial"/>
                <w:b/>
                <w:i/>
                <w:shd w:val="clear" w:color="auto" w:fill="FFFFFF"/>
                <w:lang w:eastAsia="ar-SA"/>
              </w:rPr>
              <w:t>)</w:t>
            </w:r>
            <w:r w:rsidR="00E87C7C" w:rsidRPr="00DA2DAE">
              <w:rPr>
                <w:rFonts w:eastAsia="Arial" w:cs="Arial"/>
                <w:b/>
                <w:shd w:val="clear" w:color="auto" w:fill="FFFFFF"/>
                <w:lang w:eastAsia="ar-SA"/>
              </w:rPr>
              <w:t xml:space="preserve"> рублей</w:t>
            </w:r>
            <w:r w:rsidR="00856004" w:rsidRPr="00DA2DAE">
              <w:rPr>
                <w:rFonts w:eastAsia="Arial" w:cs="Arial"/>
                <w:b/>
                <w:shd w:val="clear" w:color="auto" w:fill="FFFFFF"/>
                <w:lang w:eastAsia="ar-SA"/>
              </w:rPr>
              <w:t xml:space="preserve">, </w:t>
            </w:r>
            <w:r w:rsidRPr="00DA2DAE">
              <w:rPr>
                <w:rFonts w:eastAsia="Arial" w:cs="Arial"/>
                <w:b/>
                <w:shd w:val="clear" w:color="auto" w:fill="FFFFFF"/>
                <w:lang w:eastAsia="ar-SA"/>
              </w:rPr>
              <w:t>00</w:t>
            </w:r>
            <w:r w:rsidR="00325313">
              <w:rPr>
                <w:rFonts w:eastAsia="Arial" w:cs="Arial"/>
                <w:b/>
                <w:shd w:val="clear" w:color="auto" w:fill="FFFFFF"/>
                <w:lang w:eastAsia="ar-SA"/>
              </w:rPr>
              <w:t xml:space="preserve"> копеек, </w:t>
            </w:r>
            <w:r w:rsidR="00582CF5">
              <w:rPr>
                <w:rFonts w:eastAsia="Arial" w:cs="Arial"/>
                <w:b/>
                <w:shd w:val="clear" w:color="auto" w:fill="FFFFFF"/>
                <w:lang w:eastAsia="ar-SA"/>
              </w:rPr>
              <w:t>с учетом всех налогов и сборов</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E87C7C" w:rsidRDefault="00E87C7C" w:rsidP="00582CF5">
            <w:pPr>
              <w:widowControl w:val="0"/>
              <w:tabs>
                <w:tab w:val="left" w:pos="1418"/>
              </w:tabs>
              <w:autoSpaceDE w:val="0"/>
              <w:autoSpaceDN w:val="0"/>
              <w:adjustRightInd w:val="0"/>
              <w:ind w:firstLine="720"/>
              <w:jc w:val="both"/>
            </w:pPr>
            <w:r w:rsidRPr="00E87C7C">
              <w:rPr>
                <w:color w:val="00000A"/>
              </w:rPr>
              <w:t>Оплата товара</w:t>
            </w:r>
            <w:r w:rsidRPr="00E87C7C">
              <w:rPr>
                <w:spacing w:val="4"/>
              </w:rPr>
              <w:t xml:space="preserve"> производится </w:t>
            </w:r>
            <w:r w:rsidRPr="00E87C7C">
              <w:rPr>
                <w:color w:val="00000A"/>
              </w:rPr>
              <w:t xml:space="preserve">по факту поставки на основании предъявленного Поставщиком Заказчику счета и после подписания Заказчиком </w:t>
            </w:r>
            <w:r w:rsidRPr="00E87C7C">
              <w:t>Акта приема-передачи товара</w:t>
            </w:r>
            <w:r w:rsidRPr="00E87C7C">
              <w:rPr>
                <w:color w:val="00000A"/>
              </w:rPr>
              <w:t xml:space="preserve">, </w:t>
            </w:r>
            <w:r w:rsidRPr="00E87C7C">
              <w:rPr>
                <w:spacing w:val="4"/>
              </w:rPr>
              <w:t xml:space="preserve">путем безналичного перечисления на расчетный счет </w:t>
            </w:r>
            <w:r w:rsidRPr="00E87C7C">
              <w:rPr>
                <w:color w:val="00000A"/>
                <w:spacing w:val="1"/>
              </w:rPr>
              <w:t xml:space="preserve">Поставщика </w:t>
            </w:r>
            <w:r w:rsidRPr="00E87C7C">
              <w:rPr>
                <w:spacing w:val="1"/>
              </w:rPr>
              <w:t>денежных средств в срок, не превышающий</w:t>
            </w:r>
            <w:r w:rsidRPr="00E87C7C">
              <w:t xml:space="preserve"> 30 (тридцати) дней</w:t>
            </w:r>
            <w:r w:rsidRPr="00E87C7C">
              <w:rPr>
                <w:spacing w:val="1"/>
              </w:rPr>
              <w:t xml:space="preserve"> со дня подписания Заказчиком </w:t>
            </w:r>
            <w:r w:rsidRPr="00E87C7C">
              <w:t>Акта приема-передачи товара.</w:t>
            </w:r>
          </w:p>
        </w:tc>
      </w:tr>
      <w:tr w:rsidR="00970905" w:rsidRPr="00021009" w:rsidTr="00E334B7">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w:t>
            </w:r>
            <w:r w:rsidR="00C07C97">
              <w:t>ООО «</w:t>
            </w:r>
            <w:r w:rsidR="00157137" w:rsidRPr="00021009">
              <w:t>Единая система торговых процедур</w:t>
            </w:r>
            <w:r w:rsidR="00C07C97">
              <w:t>»</w:t>
            </w:r>
            <w:r w:rsidR="00157137" w:rsidRPr="00021009">
              <w:t>):</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BC2E31" w:rsidP="00C07C97">
            <w:r w:rsidRPr="00E122A2">
              <w:t>«</w:t>
            </w:r>
            <w:r w:rsidR="00E87C7C" w:rsidRPr="00E122A2">
              <w:t>21</w:t>
            </w:r>
            <w:r w:rsidRPr="00E122A2">
              <w:t xml:space="preserve">» </w:t>
            </w:r>
            <w:r w:rsidR="00C07C97" w:rsidRPr="00E122A2">
              <w:t>апреля</w:t>
            </w:r>
            <w:r w:rsidRPr="00E122A2">
              <w:t xml:space="preserve"> 2020</w:t>
            </w:r>
            <w:r w:rsidR="004D45D7" w:rsidRPr="00E122A2">
              <w:t xml:space="preserve"> г. в </w:t>
            </w:r>
            <w:r w:rsidR="00C07C97" w:rsidRPr="00E122A2">
              <w:t>10</w:t>
            </w:r>
            <w:r w:rsidR="00C73D6F" w:rsidRPr="00E122A2">
              <w:t>:</w:t>
            </w:r>
            <w:r w:rsidR="00C07C97" w:rsidRPr="00E122A2">
              <w:t>00</w:t>
            </w:r>
            <w:r w:rsidR="00C73D6F" w:rsidRPr="00E122A2">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07C97" w:rsidRDefault="00970905" w:rsidP="00970905">
            <w:pPr>
              <w:autoSpaceDE w:val="0"/>
            </w:pPr>
            <w:r w:rsidRPr="00C07C97">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C07C97" w:rsidRDefault="00BC2E31" w:rsidP="00C07C97">
            <w:r w:rsidRPr="00E122A2">
              <w:t>«</w:t>
            </w:r>
            <w:r w:rsidR="00E87C7C" w:rsidRPr="00E122A2">
              <w:t>28</w:t>
            </w:r>
            <w:r w:rsidR="004D45D7" w:rsidRPr="00E122A2">
              <w:t xml:space="preserve">» </w:t>
            </w:r>
            <w:r w:rsidR="00C07C97" w:rsidRPr="00E122A2">
              <w:t>апреля</w:t>
            </w:r>
            <w:r w:rsidRPr="00E122A2">
              <w:t xml:space="preserve"> 2020</w:t>
            </w:r>
            <w:r w:rsidR="004D45D7" w:rsidRPr="00E122A2">
              <w:t xml:space="preserve"> г в </w:t>
            </w:r>
            <w:r w:rsidR="00C07C97" w:rsidRPr="00E122A2">
              <w:t>10</w:t>
            </w:r>
            <w:r w:rsidR="00C73D6F" w:rsidRPr="00E122A2">
              <w:t>:</w:t>
            </w:r>
            <w:r w:rsidR="00C07C97" w:rsidRPr="00E122A2">
              <w:t>00</w:t>
            </w:r>
            <w:r w:rsidR="00C73D6F" w:rsidRPr="00E122A2">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07C97" w:rsidRDefault="00970905" w:rsidP="00970905">
            <w:pPr>
              <w:autoSpaceDE w:val="0"/>
            </w:pPr>
            <w:r w:rsidRPr="00C07C97">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C07C97" w:rsidRDefault="00970905" w:rsidP="00C73D6F">
            <w:pPr>
              <w:jc w:val="both"/>
            </w:pPr>
            <w:r w:rsidRPr="00C07C97">
              <w:t>Рассмотрение заявок на участие в запросе котировок в электро</w:t>
            </w:r>
            <w:r w:rsidR="009D1A4A" w:rsidRPr="00C07C97">
              <w:t xml:space="preserve">нной форме состоится по адресу: </w:t>
            </w:r>
            <w:r w:rsidR="00E87C7C" w:rsidRPr="00E25558">
              <w:t>142840, Московск</w:t>
            </w:r>
            <w:r w:rsidR="00340A0A">
              <w:t>ая область, г.о</w:t>
            </w:r>
            <w:r w:rsidR="00E87C7C">
              <w:t xml:space="preserve"> Ступино</w:t>
            </w:r>
            <w:r w:rsidR="00E87C7C" w:rsidRPr="00E25558">
              <w:t xml:space="preserve"> рабочий поселок Михнево, Библиотечная улица, 20б</w:t>
            </w:r>
            <w:r w:rsidR="00C07C97" w:rsidRPr="00C07C97">
              <w:t>.</w:t>
            </w:r>
          </w:p>
          <w:p w:rsidR="00C73D6F" w:rsidRPr="00C07C97" w:rsidRDefault="00BC2E31" w:rsidP="001C5284">
            <w:r w:rsidRPr="00E122A2">
              <w:t>«</w:t>
            </w:r>
            <w:r w:rsidR="00E87C7C" w:rsidRPr="00E122A2">
              <w:t>28</w:t>
            </w:r>
            <w:r w:rsidR="004D45D7" w:rsidRPr="00E122A2">
              <w:t xml:space="preserve">» </w:t>
            </w:r>
            <w:r w:rsidR="00C07C97" w:rsidRPr="00E122A2">
              <w:t>апреля</w:t>
            </w:r>
            <w:r w:rsidRPr="00E122A2">
              <w:t xml:space="preserve"> 2020</w:t>
            </w:r>
            <w:r w:rsidR="004D45D7" w:rsidRPr="00E122A2">
              <w:t xml:space="preserve"> г. в </w:t>
            </w:r>
            <w:r w:rsidR="00C07C97" w:rsidRPr="00E122A2">
              <w:t>10</w:t>
            </w:r>
            <w:r w:rsidR="00C73D6F" w:rsidRPr="00E122A2">
              <w:t>:</w:t>
            </w:r>
            <w:r w:rsidR="00170D48" w:rsidRPr="00E122A2">
              <w:t>01</w:t>
            </w:r>
            <w:r w:rsidR="00C73D6F" w:rsidRPr="00E122A2">
              <w:t xml:space="preserve"> «время местное»</w:t>
            </w:r>
          </w:p>
          <w:p w:rsidR="00970905" w:rsidRPr="00C07C97" w:rsidRDefault="00970905" w:rsidP="00970905">
            <w:pPr>
              <w:jc w:val="both"/>
            </w:pPr>
          </w:p>
        </w:tc>
      </w:tr>
      <w:tr w:rsidR="00AA5EE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C07C97" w:rsidRDefault="00AA5EEF" w:rsidP="00970905">
            <w:pPr>
              <w:autoSpaceDE w:val="0"/>
            </w:pPr>
            <w:r w:rsidRPr="00C07C97">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C07C97" w:rsidRDefault="000C4155" w:rsidP="00BD371A">
            <w:pPr>
              <w:jc w:val="both"/>
            </w:pPr>
            <w:r w:rsidRPr="00C07C97">
              <w:t xml:space="preserve">Согласно Раздела </w:t>
            </w:r>
            <w:r w:rsidR="00170D48" w:rsidRPr="00170D48">
              <w:rPr>
                <w:color w:val="0000FF"/>
              </w:rPr>
              <w:t>47</w:t>
            </w:r>
            <w:r w:rsidR="00BD371A" w:rsidRPr="00C07C97">
              <w:t xml:space="preserve"> и </w:t>
            </w:r>
            <w:r w:rsidR="00BD371A" w:rsidRPr="00170D48">
              <w:rPr>
                <w:color w:val="0000FF"/>
              </w:rPr>
              <w:t>48</w:t>
            </w:r>
            <w:r w:rsidRPr="00C07C97">
              <w:t xml:space="preserve"> </w:t>
            </w:r>
            <w:r w:rsidR="00BD371A" w:rsidRPr="00C07C97">
              <w:t xml:space="preserve">Положения </w:t>
            </w:r>
            <w:r w:rsidRPr="00C07C97">
              <w:t>по закупкам.</w:t>
            </w:r>
          </w:p>
        </w:tc>
      </w:tr>
      <w:tr w:rsidR="00DD14C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 xml:space="preserve">Критерии оценки и сопоставления заявок на участие в такой </w:t>
            </w:r>
            <w:r w:rsidRPr="00021009">
              <w:lastRenderedPageBreak/>
              <w:t>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lastRenderedPageBreak/>
              <w:t>Основным критерием определения победителя в ходе осуществления закупки-является цена Договора.</w:t>
            </w:r>
          </w:p>
        </w:tc>
      </w:tr>
      <w:tr w:rsidR="00C05C2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170D48">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FF32D8" w:rsidRDefault="004A5934" w:rsidP="00C834BD">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BB1BD5" w:rsidRPr="00FF32D8">
              <w:rPr>
                <w:rFonts w:ascii="Times New Roman" w:hAnsi="Times New Roman" w:cs="Times New Roman"/>
                <w:i/>
                <w:sz w:val="24"/>
                <w:szCs w:val="24"/>
              </w:rPr>
              <w:t>непредставления</w:t>
            </w:r>
            <w:r w:rsidR="00C834BD" w:rsidRPr="00FF32D8">
              <w:rPr>
                <w:rFonts w:ascii="Times New Roman" w:hAnsi="Times New Roman" w:cs="Times New Roman"/>
                <w:i/>
                <w:sz w:val="24"/>
                <w:szCs w:val="24"/>
              </w:rPr>
              <w:t xml:space="preserve"> документов и (или) информации, предусмотренных пунктом </w:t>
            </w:r>
            <w:r w:rsidR="00C834BD" w:rsidRPr="00FF32D8">
              <w:rPr>
                <w:rFonts w:ascii="Times New Roman" w:hAnsi="Times New Roman" w:cs="Times New Roman"/>
                <w:i/>
                <w:color w:val="0000FF"/>
                <w:sz w:val="24"/>
                <w:szCs w:val="24"/>
              </w:rPr>
              <w:t xml:space="preserve">46.3 </w:t>
            </w:r>
            <w:r w:rsidR="00C834BD" w:rsidRPr="00FF32D8">
              <w:rPr>
                <w:rFonts w:ascii="Times New Roman" w:hAnsi="Times New Roman" w:cs="Times New Roman"/>
                <w:i/>
                <w:sz w:val="24"/>
                <w:szCs w:val="24"/>
              </w:rPr>
              <w:t>Положения</w:t>
            </w:r>
            <w:r w:rsidR="008B1821" w:rsidRPr="00FF32D8">
              <w:rPr>
                <w:rFonts w:ascii="Times New Roman" w:hAnsi="Times New Roman" w:cs="Times New Roman"/>
                <w:i/>
                <w:sz w:val="24"/>
                <w:szCs w:val="24"/>
              </w:rPr>
              <w:t xml:space="preserve"> Заказчика</w:t>
            </w:r>
            <w:r w:rsidR="00C834BD" w:rsidRPr="00FF32D8">
              <w:rPr>
                <w:rFonts w:ascii="Times New Roman" w:hAnsi="Times New Roman" w:cs="Times New Roman"/>
                <w:i/>
                <w:sz w:val="24"/>
                <w:szCs w:val="24"/>
              </w:rPr>
              <w:t>, или предоставления недостоверной информации;</w:t>
            </w:r>
          </w:p>
          <w:p w:rsidR="00C834BD" w:rsidRPr="00FF32D8" w:rsidRDefault="004A5934" w:rsidP="00C834BD">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 xml:space="preserve">несоответствия информации, предусмотренной пунктом </w:t>
            </w:r>
            <w:r w:rsidR="00C834BD" w:rsidRPr="00FF32D8">
              <w:rPr>
                <w:rFonts w:ascii="Times New Roman" w:hAnsi="Times New Roman" w:cs="Times New Roman"/>
                <w:i/>
                <w:color w:val="0000FF"/>
                <w:sz w:val="24"/>
                <w:szCs w:val="24"/>
              </w:rPr>
              <w:t xml:space="preserve">46.3 </w:t>
            </w:r>
            <w:r w:rsidR="00C834BD" w:rsidRPr="00FF32D8">
              <w:rPr>
                <w:rFonts w:ascii="Times New Roman" w:hAnsi="Times New Roman" w:cs="Times New Roman"/>
                <w:i/>
                <w:sz w:val="24"/>
                <w:szCs w:val="24"/>
              </w:rPr>
              <w:t>Положения</w:t>
            </w:r>
            <w:r w:rsidR="008B1821" w:rsidRPr="00FF32D8">
              <w:rPr>
                <w:rFonts w:ascii="Times New Roman" w:hAnsi="Times New Roman" w:cs="Times New Roman"/>
                <w:i/>
                <w:sz w:val="24"/>
                <w:szCs w:val="24"/>
              </w:rPr>
              <w:t xml:space="preserve"> Заказчика</w:t>
            </w:r>
            <w:r w:rsidR="00C834BD" w:rsidRPr="00FF32D8">
              <w:rPr>
                <w:rFonts w:ascii="Times New Roman" w:hAnsi="Times New Roman" w:cs="Times New Roman"/>
                <w:i/>
                <w:sz w:val="24"/>
                <w:szCs w:val="24"/>
              </w:rPr>
              <w:t>, требованиям извещения о проведении запроса котировок в электронной форме;</w:t>
            </w:r>
          </w:p>
          <w:p w:rsidR="004A5934" w:rsidRPr="00FF32D8" w:rsidRDefault="004A5934" w:rsidP="004A5934">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FF32D8" w:rsidRDefault="004A5934" w:rsidP="004A5934">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FF32D8">
              <w:rPr>
                <w:i/>
              </w:rPr>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w:t>
            </w:r>
            <w:r w:rsidR="00E334B7">
              <w:rPr>
                <w:szCs w:val="28"/>
              </w:rPr>
              <w:t xml:space="preserve"> (ЕИС)</w:t>
            </w:r>
            <w:r w:rsidRPr="00021009">
              <w:rPr>
                <w:szCs w:val="28"/>
              </w:rPr>
              <w:t>, а также ЭТП (ЕСТП), без взимания платы.</w:t>
            </w:r>
            <w:bookmarkEnd w:id="26"/>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170D48">
              <w:rPr>
                <w:rFonts w:ascii="Times New Roman" w:hAnsi="Times New Roman" w:cs="Times New Roman"/>
                <w:color w:val="0000FF"/>
                <w:sz w:val="24"/>
                <w:szCs w:val="24"/>
              </w:rPr>
              <w:t>16.3</w:t>
            </w:r>
            <w:r w:rsidRPr="00021009">
              <w:rPr>
                <w:rFonts w:ascii="Times New Roman" w:hAnsi="Times New Roman" w:cs="Times New Roman"/>
                <w:sz w:val="24"/>
                <w:szCs w:val="24"/>
              </w:rPr>
              <w:t xml:space="preserve">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E334B7"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334B7">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E334B7" w:rsidP="00E334B7">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w:t>
            </w:r>
            <w:r w:rsidRPr="00021009">
              <w:lastRenderedPageBreak/>
              <w:t>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подаче заявки, приведены в пункте </w:t>
            </w:r>
            <w:r w:rsidRPr="00E334B7">
              <w:rPr>
                <w:rFonts w:ascii="Times New Roman" w:hAnsi="Times New Roman" w:cs="Times New Roman"/>
                <w:b/>
                <w:i/>
                <w:color w:val="0000FF"/>
                <w:sz w:val="24"/>
                <w:szCs w:val="24"/>
              </w:rPr>
              <w:t xml:space="preserve">25.1 </w:t>
            </w:r>
            <w:r w:rsidRPr="00021009">
              <w:rPr>
                <w:rFonts w:ascii="Times New Roman" w:hAnsi="Times New Roman" w:cs="Times New Roman"/>
                <w:b/>
                <w:i/>
                <w:sz w:val="24"/>
                <w:szCs w:val="24"/>
              </w:rPr>
              <w:t>настоящего раздела.</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002A2BC2" w:rsidRPr="00021009">
              <w:rPr>
                <w:rFonts w:ascii="Times New Roman" w:hAnsi="Times New Roman" w:cs="Times New Roman"/>
                <w:i/>
                <w:sz w:val="24"/>
                <w:szCs w:val="24"/>
              </w:rPr>
              <w:lastRenderedPageBreak/>
              <w:t xml:space="preserve">которых превышает </w:t>
            </w:r>
            <w:r w:rsidR="002A2BC2" w:rsidRPr="00E334B7">
              <w:rPr>
                <w:rFonts w:ascii="Times New Roman" w:hAnsi="Times New Roman" w:cs="Times New Roman"/>
                <w:b/>
                <w:i/>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E334B7">
              <w:rPr>
                <w:rFonts w:ascii="Times New Roman" w:hAnsi="Times New Roman" w:cs="Times New Roman"/>
                <w:b/>
                <w:i/>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E334B7" w:rsidRDefault="00E334B7" w:rsidP="002A2BC2">
            <w:pPr>
              <w:pStyle w:val="ConsPlusNormal"/>
              <w:ind w:firstLine="709"/>
              <w:jc w:val="both"/>
              <w:rPr>
                <w:rFonts w:ascii="Times New Roman" w:hAnsi="Times New Roman" w:cs="Times New Roman"/>
                <w:i/>
                <w:sz w:val="24"/>
                <w:szCs w:val="24"/>
              </w:rPr>
            </w:pPr>
            <w:bookmarkStart w:id="27" w:name="P237"/>
            <w:bookmarkEnd w:id="27"/>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w:t>
            </w:r>
            <w:r w:rsidRPr="00021009">
              <w:rPr>
                <w:rFonts w:ascii="Times New Roman" w:hAnsi="Times New Roman" w:cs="Times New Roman"/>
                <w:i/>
                <w:sz w:val="24"/>
                <w:szCs w:val="24"/>
              </w:rPr>
              <w:lastRenderedPageBreak/>
              <w:t xml:space="preserve">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87EF5" w:rsidRPr="00E334B7" w:rsidRDefault="002A2BC2" w:rsidP="00E334B7">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bookmarkStart w:id="28" w:name="P238"/>
            <w:bookmarkEnd w:id="28"/>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E334B7">
              <w:rPr>
                <w:rFonts w:ascii="Times New Roman" w:hAnsi="Times New Roman" w:cs="Times New Roman"/>
                <w:b/>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E334B7">
              <w:rPr>
                <w:rFonts w:ascii="Times New Roman" w:hAnsi="Times New Roman" w:cs="Times New Roman"/>
                <w:b/>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подтверждающие полномочия лица на </w:t>
            </w:r>
            <w:r w:rsidRPr="00021009">
              <w:rPr>
                <w:rFonts w:ascii="Times New Roman" w:hAnsi="Times New Roman" w:cs="Times New Roman"/>
                <w:sz w:val="24"/>
                <w:szCs w:val="24"/>
              </w:rPr>
              <w:lastRenderedPageBreak/>
              <w:t>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w:t>
            </w:r>
            <w:r w:rsidRPr="00021009">
              <w:rPr>
                <w:rFonts w:ascii="Times New Roman" w:hAnsi="Times New Roman" w:cs="Times New Roman"/>
                <w:sz w:val="24"/>
                <w:szCs w:val="24"/>
              </w:rPr>
              <w:lastRenderedPageBreak/>
              <w:t>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w:t>
            </w:r>
            <w:r w:rsidRPr="00021009">
              <w:rPr>
                <w:rFonts w:ascii="Times New Roman" w:hAnsi="Times New Roman" w:cs="Times New Roman"/>
                <w:sz w:val="24"/>
                <w:szCs w:val="24"/>
              </w:rPr>
              <w:lastRenderedPageBreak/>
              <w:t>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E334B7">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E334B7">
              <w:rPr>
                <w:color w:val="FF0000"/>
                <w:u w:val="single"/>
                <w:vertAlign w:val="superscript"/>
              </w:rPr>
              <w:t>*</w:t>
            </w:r>
            <w:r w:rsidR="00E334B7" w:rsidRPr="00E334B7">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005B793D" w:rsidRPr="00021009">
              <w:lastRenderedPageBreak/>
              <w:t>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w:t>
            </w:r>
            <w:r w:rsidR="001D27FB" w:rsidRPr="00021009">
              <w:lastRenderedPageBreak/>
              <w:t>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E334B7" w:rsidP="009A0A9F">
            <w:pPr>
              <w:rPr>
                <w:b/>
                <w:i/>
              </w:rPr>
            </w:pPr>
            <w:r>
              <w:rPr>
                <w:b/>
                <w:i/>
              </w:rPr>
              <w:lastRenderedPageBreak/>
              <w:t>Установлены</w:t>
            </w:r>
            <w:r w:rsidR="009A0A9F" w:rsidRPr="00021009">
              <w:rPr>
                <w:b/>
                <w:i/>
              </w:rPr>
              <w:t xml:space="preserve"> в</w:t>
            </w:r>
            <w:r w:rsidR="001D27FB" w:rsidRPr="00021009">
              <w:rPr>
                <w:b/>
                <w:i/>
              </w:rPr>
              <w:t xml:space="preserve"> соответствии с Техническим заданием</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 xml:space="preserve">Срок со дня размещения в Единой информационной системе протокола </w:t>
            </w:r>
            <w:r w:rsidRPr="00021009">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E334B7">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E334B7">
              <w:rPr>
                <w:rFonts w:ascii="Times New Roman" w:hAnsi="Times New Roman" w:cs="Times New Roman"/>
                <w:b/>
                <w:sz w:val="24"/>
                <w:szCs w:val="24"/>
              </w:rPr>
              <w:t>20</w:t>
            </w:r>
            <w:r w:rsidR="007331DF" w:rsidRPr="00021009">
              <w:rPr>
                <w:rFonts w:ascii="Times New Roman" w:hAnsi="Times New Roman" w:cs="Times New Roman"/>
                <w:sz w:val="24"/>
                <w:szCs w:val="24"/>
              </w:rPr>
              <w:t xml:space="preserve"> дней с даты размещения в Единой информационной системе </w:t>
            </w:r>
            <w:r w:rsidR="007331DF" w:rsidRPr="00021009">
              <w:rPr>
                <w:rFonts w:ascii="Times New Roman" w:hAnsi="Times New Roman" w:cs="Times New Roman"/>
                <w:sz w:val="24"/>
                <w:szCs w:val="24"/>
              </w:rPr>
              <w:lastRenderedPageBreak/>
              <w:t>итогового протокола</w:t>
            </w:r>
            <w:r w:rsidRPr="00021009">
              <w:rPr>
                <w:rFonts w:ascii="Times New Roman" w:hAnsi="Times New Roman" w:cs="Times New Roman"/>
                <w:sz w:val="24"/>
                <w:szCs w:val="24"/>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342992" w:rsidP="00BE0D77">
            <w:pPr>
              <w:ind w:firstLine="21"/>
              <w:jc w:val="both"/>
              <w:rPr>
                <w:b/>
                <w:i/>
                <w:spacing w:val="-16"/>
              </w:rPr>
            </w:pPr>
            <w:r>
              <w:rPr>
                <w:b/>
                <w:i/>
                <w:spacing w:val="-16"/>
              </w:rPr>
              <w:t>Установлены (</w:t>
            </w:r>
            <w:r w:rsidR="00E334B7">
              <w:rPr>
                <w:b/>
                <w:i/>
                <w:spacing w:val="-16"/>
              </w:rPr>
              <w:t>Форма декларации №4)</w:t>
            </w:r>
          </w:p>
          <w:p w:rsidR="00342992" w:rsidRDefault="00342992" w:rsidP="00BE0D77">
            <w:pPr>
              <w:ind w:firstLine="21"/>
              <w:jc w:val="both"/>
              <w:rPr>
                <w:b/>
                <w:i/>
                <w:spacing w:val="-16"/>
              </w:rPr>
            </w:pPr>
          </w:p>
          <w:p w:rsidR="00342992" w:rsidRPr="008A2E80" w:rsidRDefault="008A2E80" w:rsidP="00BE0D77">
            <w:pPr>
              <w:ind w:firstLine="21"/>
              <w:jc w:val="both"/>
            </w:pPr>
            <w:r w:rsidRPr="008A2E80">
              <w:rPr>
                <w:color w:val="FF0000"/>
                <w:vertAlign w:val="superscript"/>
              </w:rPr>
              <w:t>***</w:t>
            </w:r>
            <w:r w:rsidRPr="008A2E80">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w:t>
            </w:r>
            <w:r w:rsidRPr="00021009">
              <w:lastRenderedPageBreak/>
              <w:t>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970905" w:rsidP="00E334B7">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C55904">
              <w:rPr>
                <w:b/>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lastRenderedPageBreak/>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E334B7">
              <w:rPr>
                <w:b/>
              </w:rPr>
              <w:t>2</w:t>
            </w:r>
            <w:r w:rsidR="00F46FD3" w:rsidRPr="00E334B7">
              <w:rPr>
                <w:b/>
              </w:rPr>
              <w:t>5</w:t>
            </w:r>
            <w:r w:rsidR="00BF2B93" w:rsidRPr="00021009">
              <w:t xml:space="preserve"> и </w:t>
            </w:r>
            <w:r w:rsidR="00BF2B93" w:rsidRPr="00E334B7">
              <w:rPr>
                <w:b/>
              </w:rPr>
              <w:t>2</w:t>
            </w:r>
            <w:r w:rsidR="00F46FD3" w:rsidRPr="00E334B7">
              <w:rPr>
                <w:b/>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C55904">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D6697E">
              <w:rPr>
                <w:b/>
                <w:spacing w:val="1"/>
              </w:rPr>
              <w:t xml:space="preserve"> </w:t>
            </w:r>
            <w:r w:rsidRPr="00D6697E">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w:t>
            </w:r>
            <w:r w:rsidR="00F46FD3" w:rsidRPr="00021009">
              <w:rPr>
                <w:spacing w:val="2"/>
              </w:rPr>
              <w:lastRenderedPageBreak/>
              <w:t xml:space="preserve">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 xml:space="preserve">процедуры закупки. Заказчик в течение следующих </w:t>
            </w:r>
            <w:r w:rsidRPr="00D6697E">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D6697E">
              <w:rPr>
                <w:b/>
                <w:spacing w:val="-1"/>
              </w:rPr>
              <w:t>10</w:t>
            </w:r>
            <w:r w:rsidRPr="00021009">
              <w:rPr>
                <w:spacing w:val="-1"/>
              </w:rPr>
              <w:t xml:space="preserve"> и не позднее </w:t>
            </w:r>
            <w:r w:rsidRPr="00D6697E">
              <w:rPr>
                <w:b/>
                <w:spacing w:val="-1"/>
              </w:rPr>
              <w:t>20</w:t>
            </w:r>
            <w:r w:rsidRPr="00021009">
              <w:rPr>
                <w:spacing w:val="-1"/>
              </w:rPr>
              <w:t xml:space="preserve"> дней со дня размещения в ЕИС</w:t>
            </w:r>
            <w:r w:rsidR="00D6697E">
              <w:rPr>
                <w:spacing w:val="-1"/>
              </w:rPr>
              <w:t xml:space="preserve"> </w:t>
            </w:r>
            <w:r w:rsidR="00D6697E" w:rsidRPr="00D6697E">
              <w:rPr>
                <w:i/>
                <w:spacing w:val="-1"/>
              </w:rPr>
              <w:t>(Единая информационная система)</w:t>
            </w:r>
            <w:r w:rsidR="00596508" w:rsidRPr="00021009">
              <w:rPr>
                <w:spacing w:val="-1"/>
              </w:rPr>
              <w:t>, на портале ЕАСУЗ</w:t>
            </w:r>
            <w:r w:rsidR="00757E81" w:rsidRPr="00021009">
              <w:rPr>
                <w:spacing w:val="-1"/>
              </w:rPr>
              <w:t xml:space="preserve"> 2.0</w:t>
            </w:r>
            <w:r w:rsidR="00D6697E">
              <w:rPr>
                <w:spacing w:val="-1"/>
              </w:rPr>
              <w:t xml:space="preserve"> </w:t>
            </w:r>
            <w:r w:rsidR="00D6697E" w:rsidRPr="00D6697E">
              <w:rPr>
                <w:i/>
                <w:spacing w:val="-1"/>
              </w:rPr>
              <w:t xml:space="preserve">(Единая автоматизированная система </w:t>
            </w:r>
            <w:r w:rsidR="00D6697E">
              <w:rPr>
                <w:i/>
                <w:spacing w:val="-1"/>
              </w:rPr>
              <w:t>управления закуп</w:t>
            </w:r>
            <w:r w:rsidR="00D6697E" w:rsidRPr="00D6697E">
              <w:rPr>
                <w:i/>
                <w:spacing w:val="-1"/>
              </w:rPr>
              <w:t>к</w:t>
            </w:r>
            <w:r w:rsidR="00D6697E">
              <w:rPr>
                <w:i/>
                <w:spacing w:val="-1"/>
              </w:rPr>
              <w:t>ами</w:t>
            </w:r>
            <w:r w:rsidR="00D6697E" w:rsidRPr="00D6697E">
              <w:rPr>
                <w:i/>
                <w:spacing w:val="-1"/>
              </w:rPr>
              <w:t>)</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w:t>
            </w:r>
            <w:r w:rsidRPr="00021009">
              <w:rPr>
                <w:rFonts w:ascii="Times New Roman" w:hAnsi="Times New Roman" w:cs="Times New Roman"/>
                <w:sz w:val="24"/>
                <w:szCs w:val="24"/>
              </w:rPr>
              <w:lastRenderedPageBreak/>
              <w:t xml:space="preserve">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D6697E">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D6697E">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w:t>
      </w:r>
      <w:r w:rsidR="00044501" w:rsidRPr="00D6697E">
        <w:rPr>
          <w:b/>
        </w:rPr>
        <w:t xml:space="preserve">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D6697E"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D6697E" w:rsidRPr="00D6697E">
        <w:rPr>
          <w:rFonts w:ascii="Times New Roman" w:hAnsi="Times New Roman" w:cs="Times New Roman"/>
          <w:i/>
          <w:sz w:val="24"/>
          <w:szCs w:val="24"/>
        </w:rPr>
        <w:t>МАДОУ М</w:t>
      </w:r>
      <w:r w:rsidR="00E87C7C">
        <w:rPr>
          <w:rFonts w:ascii="Times New Roman" w:hAnsi="Times New Roman" w:cs="Times New Roman"/>
          <w:i/>
          <w:sz w:val="24"/>
          <w:szCs w:val="24"/>
        </w:rPr>
        <w:t>ихневский</w:t>
      </w:r>
      <w:r w:rsidR="00D6697E" w:rsidRPr="00D6697E">
        <w:rPr>
          <w:rFonts w:ascii="Times New Roman" w:hAnsi="Times New Roman" w:cs="Times New Roman"/>
          <w:i/>
          <w:sz w:val="24"/>
          <w:szCs w:val="24"/>
        </w:rPr>
        <w:t xml:space="preserve"> ЦРР-д/с «</w:t>
      </w:r>
      <w:r w:rsidR="00E87C7C">
        <w:rPr>
          <w:rFonts w:ascii="Times New Roman" w:hAnsi="Times New Roman" w:cs="Times New Roman"/>
          <w:i/>
          <w:sz w:val="24"/>
          <w:szCs w:val="24"/>
        </w:rPr>
        <w:t>Осинка</w:t>
      </w:r>
      <w:r w:rsidR="00D6697E" w:rsidRPr="00D6697E">
        <w:rPr>
          <w:rFonts w:ascii="Times New Roman" w:hAnsi="Times New Roman" w:cs="Times New Roman"/>
          <w:i/>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 xml:space="preserve">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w:t>
      </w:r>
      <w:r w:rsidR="00A91877" w:rsidRPr="00D6697E">
        <w:rPr>
          <w:rFonts w:ascii="Times New Roman" w:hAnsi="Times New Roman" w:cs="Times New Roman"/>
          <w:b/>
          <w:sz w:val="24"/>
          <w:szCs w:val="24"/>
        </w:rPr>
        <w:t>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D6697E">
        <w:rPr>
          <w:color w:val="0000FF"/>
          <w:sz w:val="24"/>
          <w:szCs w:val="24"/>
        </w:rPr>
        <w:t xml:space="preserve">60.1.33 </w:t>
      </w:r>
      <w:r w:rsidRPr="00021009">
        <w:rPr>
          <w:sz w:val="24"/>
          <w:szCs w:val="24"/>
        </w:rPr>
        <w:t xml:space="preserve">пункта </w:t>
      </w:r>
      <w:r w:rsidRPr="00D6697E">
        <w:rPr>
          <w:color w:val="0000FF"/>
          <w:sz w:val="24"/>
          <w:szCs w:val="24"/>
        </w:rPr>
        <w:t xml:space="preserve">60.1 </w:t>
      </w:r>
      <w:r w:rsidRPr="00021009">
        <w:rPr>
          <w:sz w:val="24"/>
          <w:szCs w:val="24"/>
        </w:rPr>
        <w:t xml:space="preserve">Положения в порядке, установленном разделом </w:t>
      </w:r>
      <w:r w:rsidRPr="00D6697E">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D6697E"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D6697E"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D6697E" w:rsidRPr="00D6697E">
        <w:rPr>
          <w:rFonts w:ascii="Times New Roman" w:hAnsi="Times New Roman" w:cs="Times New Roman"/>
          <w:i/>
          <w:sz w:val="24"/>
          <w:szCs w:val="24"/>
        </w:rPr>
        <w:t>»</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w:t>
      </w:r>
      <w:r w:rsidRPr="00D6697E">
        <w:rPr>
          <w:b/>
        </w:rPr>
        <w:t xml:space="preserve"> 10</w:t>
      </w:r>
      <w:r w:rsidRPr="00021009">
        <w:t xml:space="preserve"> дней и не позднее чем через </w:t>
      </w:r>
      <w:r w:rsidRPr="00D6697E">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D6697E">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D6697E"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D6697E"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D6697E" w:rsidRPr="00D6697E">
        <w:rPr>
          <w:rFonts w:ascii="Times New Roman" w:hAnsi="Times New Roman" w:cs="Times New Roman"/>
          <w:i/>
          <w:sz w:val="24"/>
          <w:szCs w:val="24"/>
        </w:rPr>
        <w:t>»</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E71CBD"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E71CBD"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E71CBD" w:rsidRPr="00D6697E">
        <w:rPr>
          <w:rFonts w:ascii="Times New Roman" w:hAnsi="Times New Roman" w:cs="Times New Roman"/>
          <w:i/>
          <w:sz w:val="24"/>
          <w:szCs w:val="24"/>
        </w:rPr>
        <w:t>»</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lastRenderedPageBreak/>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67B42"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A67B42"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A67B42" w:rsidRPr="00D6697E">
        <w:rPr>
          <w:rFonts w:ascii="Times New Roman" w:hAnsi="Times New Roman" w:cs="Times New Roman"/>
          <w:i/>
          <w:sz w:val="24"/>
          <w:szCs w:val="24"/>
        </w:rPr>
        <w:t>»</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A67B42"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 ЦРР-д/с «Осинка</w:t>
      </w:r>
      <w:r w:rsidR="00A67B42" w:rsidRPr="00D6697E">
        <w:rPr>
          <w:rFonts w:ascii="Times New Roman" w:hAnsi="Times New Roman" w:cs="Times New Roman"/>
          <w:i/>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0F661C"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0F661C"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0F661C" w:rsidRPr="00D6697E">
        <w:rPr>
          <w:rFonts w:ascii="Times New Roman" w:hAnsi="Times New Roman" w:cs="Times New Roman"/>
          <w:i/>
          <w:sz w:val="24"/>
          <w:szCs w:val="24"/>
        </w:rPr>
        <w:t>»</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00B55274" w:rsidRPr="00021009">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0F661C" w:rsidRDefault="00CC3D41" w:rsidP="000F661C">
      <w:pPr>
        <w:jc w:val="center"/>
        <w:rPr>
          <w:b/>
          <w:i/>
        </w:rPr>
      </w:pPr>
      <w:r w:rsidRPr="000F661C">
        <w:rPr>
          <w:b/>
          <w:bCs/>
          <w:i/>
        </w:rPr>
        <w:t>При заключении договора на оказание услуги, для оказания которых используется товар:</w:t>
      </w:r>
    </w:p>
    <w:p w:rsidR="000F661C" w:rsidRDefault="000F661C" w:rsidP="000F661C">
      <w:pPr>
        <w:jc w:val="center"/>
        <w:rPr>
          <w:b/>
          <w:i/>
        </w:rPr>
      </w:pPr>
    </w:p>
    <w:p w:rsidR="00CC3D41" w:rsidRPr="00021009" w:rsidRDefault="00D65AD6" w:rsidP="000F661C">
      <w:pPr>
        <w:rPr>
          <w:i/>
          <w:sz w:val="20"/>
          <w:szCs w:val="20"/>
        </w:rPr>
      </w:pPr>
      <w:r w:rsidRPr="00021009">
        <w:rPr>
          <w:b/>
          <w:i/>
          <w:sz w:val="20"/>
          <w:szCs w:val="20"/>
        </w:rPr>
        <w:t>1</w:t>
      </w:r>
      <w:r w:rsidR="00CC3D41" w:rsidRPr="00021009">
        <w:rPr>
          <w:b/>
          <w:i/>
          <w:sz w:val="20"/>
          <w:szCs w:val="20"/>
        </w:rPr>
        <w:t>)</w:t>
      </w:r>
      <w:r w:rsidR="00CC3D41"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lastRenderedPageBreak/>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w:t>
      </w:r>
      <w:r w:rsidRPr="00021009">
        <w:rPr>
          <w:i/>
          <w:sz w:val="20"/>
          <w:szCs w:val="20"/>
        </w:rPr>
        <w:lastRenderedPageBreak/>
        <w:t>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0F661C">
        <w:rPr>
          <w:color w:val="404040" w:themeColor="text1" w:themeTint="BF"/>
          <w:sz w:val="20"/>
          <w:szCs w:val="20"/>
        </w:rPr>
        <w:t xml:space="preserve">Данные по ценовому предложению, следует воспроизводить </w:t>
      </w:r>
      <w:r w:rsidR="00CF279E" w:rsidRPr="000F661C">
        <w:rPr>
          <w:color w:val="404040" w:themeColor="text1" w:themeTint="BF"/>
          <w:sz w:val="20"/>
          <w:szCs w:val="20"/>
        </w:rPr>
        <w:t xml:space="preserve">в отдельном поле, </w:t>
      </w:r>
      <w:r w:rsidRPr="000F661C">
        <w:rPr>
          <w:color w:val="404040" w:themeColor="text1" w:themeTint="BF"/>
          <w:sz w:val="20"/>
          <w:szCs w:val="20"/>
        </w:rPr>
        <w:t xml:space="preserve">при подаче </w:t>
      </w:r>
      <w:r w:rsidR="00CF279E" w:rsidRPr="000F661C">
        <w:rPr>
          <w:color w:val="404040" w:themeColor="text1" w:themeTint="BF"/>
          <w:sz w:val="20"/>
          <w:szCs w:val="20"/>
        </w:rPr>
        <w:t xml:space="preserve">одной </w:t>
      </w:r>
      <w:r w:rsidR="007C2717" w:rsidRPr="000F661C">
        <w:rPr>
          <w:color w:val="404040" w:themeColor="text1" w:themeTint="BF"/>
          <w:sz w:val="20"/>
          <w:szCs w:val="20"/>
        </w:rPr>
        <w:t xml:space="preserve">части </w:t>
      </w:r>
      <w:r w:rsidRPr="000F661C">
        <w:rPr>
          <w:color w:val="404040" w:themeColor="text1" w:themeTint="BF"/>
          <w:sz w:val="20"/>
          <w:szCs w:val="20"/>
        </w:rPr>
        <w:t>заявки на участие в запросе котировок в электронной форме</w:t>
      </w:r>
      <w:r w:rsidR="00CF279E" w:rsidRPr="000F661C">
        <w:rPr>
          <w:color w:val="404040" w:themeColor="text1" w:themeTint="BF"/>
          <w:sz w:val="20"/>
          <w:szCs w:val="20"/>
        </w:rPr>
        <w:t xml:space="preserve"> и прикреплять</w:t>
      </w:r>
      <w:r w:rsidR="007C2717" w:rsidRPr="000F661C">
        <w:rPr>
          <w:color w:val="404040" w:themeColor="text1" w:themeTint="BF"/>
          <w:sz w:val="20"/>
          <w:szCs w:val="20"/>
        </w:rPr>
        <w:t xml:space="preserve"> такое ценовое предложение</w:t>
      </w:r>
      <w:r w:rsidR="00CF279E" w:rsidRPr="000F661C">
        <w:rPr>
          <w:color w:val="404040" w:themeColor="text1" w:themeTint="BF"/>
          <w:sz w:val="20"/>
          <w:szCs w:val="20"/>
        </w:rPr>
        <w:t xml:space="preserve"> в разделе «Раздельной подачи ценового предложения»</w:t>
      </w:r>
      <w:r w:rsidRPr="000F661C">
        <w:rPr>
          <w:color w:val="404040" w:themeColor="text1" w:themeTint="BF"/>
          <w:sz w:val="20"/>
          <w:szCs w:val="20"/>
        </w:rPr>
        <w:t>.</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 xml:space="preserve"> (</w:t>
      </w:r>
      <w:r w:rsidR="00CF279E" w:rsidRPr="000F661C">
        <w:rPr>
          <w:i/>
          <w:color w:val="262626" w:themeColor="text1" w:themeTint="D9"/>
          <w:sz w:val="20"/>
          <w:szCs w:val="20"/>
        </w:rPr>
        <w:t xml:space="preserve">Инструкция </w:t>
      </w:r>
      <w:r w:rsidRPr="000F661C">
        <w:rPr>
          <w:i/>
          <w:color w:val="262626" w:themeColor="text1" w:themeTint="D9"/>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21009">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0F661C"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 ЦРР-д/с «Осинка</w:t>
      </w:r>
      <w:r w:rsidR="000F661C" w:rsidRPr="00D6697E">
        <w:rPr>
          <w:rFonts w:ascii="Times New Roman" w:hAnsi="Times New Roman" w:cs="Times New Roman"/>
          <w:i/>
          <w:sz w:val="24"/>
          <w:szCs w:val="24"/>
        </w:rPr>
        <w:t>»</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0F661C"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0F661C"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0F661C" w:rsidRPr="00D6697E">
        <w:rPr>
          <w:rFonts w:ascii="Times New Roman" w:hAnsi="Times New Roman" w:cs="Times New Roman"/>
          <w:i/>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642F9" w:rsidRPr="00E642F9">
        <w:rPr>
          <w:rFonts w:ascii="Times New Roman" w:hAnsi="Times New Roman" w:cs="Times New Roman"/>
          <w:i/>
          <w:sz w:val="24"/>
          <w:szCs w:val="24"/>
        </w:rPr>
        <w:t>(наименование заказчика)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0F661C" w:rsidRPr="00D6697E">
        <w:rPr>
          <w:rFonts w:ascii="Times New Roman" w:hAnsi="Times New Roman" w:cs="Times New Roman"/>
          <w:i/>
          <w:sz w:val="24"/>
          <w:szCs w:val="24"/>
        </w:rPr>
        <w:t>МАДОУ М</w:t>
      </w:r>
      <w:r w:rsidR="00DA351D">
        <w:rPr>
          <w:rFonts w:ascii="Times New Roman" w:hAnsi="Times New Roman" w:cs="Times New Roman"/>
          <w:i/>
          <w:sz w:val="24"/>
          <w:szCs w:val="24"/>
        </w:rPr>
        <w:t>ихневский</w:t>
      </w:r>
      <w:r w:rsidR="000F661C" w:rsidRPr="00D6697E">
        <w:rPr>
          <w:rFonts w:ascii="Times New Roman" w:hAnsi="Times New Roman" w:cs="Times New Roman"/>
          <w:i/>
          <w:sz w:val="24"/>
          <w:szCs w:val="24"/>
        </w:rPr>
        <w:t xml:space="preserve"> ЦРР-д/с «</w:t>
      </w:r>
      <w:r w:rsidR="00DA351D">
        <w:rPr>
          <w:rFonts w:ascii="Times New Roman" w:hAnsi="Times New Roman" w:cs="Times New Roman"/>
          <w:i/>
          <w:sz w:val="24"/>
          <w:szCs w:val="24"/>
        </w:rPr>
        <w:t>Осинка</w:t>
      </w:r>
      <w:r w:rsidR="000F661C" w:rsidRPr="00D6697E">
        <w:rPr>
          <w:rFonts w:ascii="Times New Roman" w:hAnsi="Times New Roman" w:cs="Times New Roman"/>
          <w:i/>
          <w:sz w:val="24"/>
          <w:szCs w:val="24"/>
        </w:rPr>
        <w:t>»</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7F7F5F" w:rsidRDefault="00E14DAA" w:rsidP="00E14DAA">
      <w:pPr>
        <w:suppressAutoHyphens/>
        <w:spacing w:line="100" w:lineRule="atLeast"/>
        <w:ind w:firstLine="720"/>
        <w:jc w:val="center"/>
        <w:rPr>
          <w:b/>
          <w:color w:val="00000A"/>
          <w:kern w:val="1"/>
          <w:sz w:val="22"/>
          <w:szCs w:val="22"/>
        </w:rPr>
      </w:pPr>
      <w:r w:rsidRPr="007F7F5F">
        <w:rPr>
          <w:b/>
          <w:color w:val="00000A"/>
          <w:kern w:val="1"/>
          <w:sz w:val="22"/>
          <w:szCs w:val="22"/>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7F7F5F">
        <w:trPr>
          <w:trHeight w:val="4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7F7F5F">
        <w:trPr>
          <w:trHeight w:val="491"/>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7F7F5F" w:rsidRDefault="007F7F5F" w:rsidP="00940E5C">
      <w:pPr>
        <w:jc w:val="right"/>
        <w:rPr>
          <w:sz w:val="26"/>
          <w:szCs w:val="26"/>
        </w:rPr>
      </w:pP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580259" w:rsidRPr="00021009" w:rsidRDefault="00332408" w:rsidP="003C1D0B">
      <w:pPr>
        <w:tabs>
          <w:tab w:val="left" w:pos="284"/>
        </w:tabs>
        <w:rPr>
          <w:color w:val="000000"/>
          <w:lang w:eastAsia="en-US"/>
        </w:rPr>
      </w:pPr>
      <w:r w:rsidRPr="00021009">
        <w:rPr>
          <w:sz w:val="26"/>
          <w:szCs w:val="26"/>
        </w:rPr>
        <w:br w:type="page"/>
      </w:r>
    </w:p>
    <w:p w:rsidR="00E14DAA" w:rsidRPr="00021009" w:rsidRDefault="00E14DAA" w:rsidP="00B23112">
      <w:pPr>
        <w:widowControl w:val="0"/>
        <w:adjustRightInd w:val="0"/>
        <w:ind w:left="5670"/>
        <w:jc w:val="right"/>
        <w:rPr>
          <w:lang w:eastAsia="en-US"/>
        </w:rPr>
      </w:pPr>
    </w:p>
    <w:p w:rsidR="001916D5" w:rsidRPr="00021009" w:rsidRDefault="001916D5" w:rsidP="00DA31D4">
      <w:pPr>
        <w:pStyle w:val="a3"/>
        <w:autoSpaceDE w:val="0"/>
        <w:spacing w:after="0"/>
        <w:ind w:left="5670"/>
        <w:jc w:val="right"/>
      </w:pPr>
      <w:r w:rsidRPr="00021009">
        <w:t>Приложение №6</w:t>
      </w:r>
    </w:p>
    <w:p w:rsidR="001916D5" w:rsidRPr="00021009" w:rsidRDefault="001916D5" w:rsidP="00DA31D4">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116F0D">
      <w:pPr>
        <w:pStyle w:val="a3"/>
        <w:autoSpaceDE w:val="0"/>
        <w:spacing w:after="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116F0D">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155" w:rsidRDefault="00CE6155" w:rsidP="00270664">
      <w:r>
        <w:separator/>
      </w:r>
    </w:p>
  </w:endnote>
  <w:endnote w:type="continuationSeparator" w:id="0">
    <w:p w:rsidR="00CE6155" w:rsidRDefault="00CE615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155" w:rsidRDefault="00CE6155" w:rsidP="00270664">
      <w:r>
        <w:separator/>
      </w:r>
    </w:p>
  </w:footnote>
  <w:footnote w:type="continuationSeparator" w:id="0">
    <w:p w:rsidR="00CE6155" w:rsidRDefault="00CE6155"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389"/>
    <w:rsid w:val="000C7C7D"/>
    <w:rsid w:val="000D1EFC"/>
    <w:rsid w:val="000D3899"/>
    <w:rsid w:val="000E13F3"/>
    <w:rsid w:val="000E3764"/>
    <w:rsid w:val="000F5928"/>
    <w:rsid w:val="000F661C"/>
    <w:rsid w:val="00106B32"/>
    <w:rsid w:val="00116F0D"/>
    <w:rsid w:val="0012112C"/>
    <w:rsid w:val="001434D6"/>
    <w:rsid w:val="00150D3A"/>
    <w:rsid w:val="00157137"/>
    <w:rsid w:val="001572B6"/>
    <w:rsid w:val="00162A5B"/>
    <w:rsid w:val="00170D48"/>
    <w:rsid w:val="00180ACD"/>
    <w:rsid w:val="00182157"/>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76EE1"/>
    <w:rsid w:val="0028185F"/>
    <w:rsid w:val="00281F3A"/>
    <w:rsid w:val="0028224E"/>
    <w:rsid w:val="00290F3C"/>
    <w:rsid w:val="002A0428"/>
    <w:rsid w:val="002A2BC2"/>
    <w:rsid w:val="002A770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0A0A"/>
    <w:rsid w:val="00342992"/>
    <w:rsid w:val="00353D58"/>
    <w:rsid w:val="00361720"/>
    <w:rsid w:val="003659C8"/>
    <w:rsid w:val="003713F7"/>
    <w:rsid w:val="00372E85"/>
    <w:rsid w:val="003733B0"/>
    <w:rsid w:val="003809A1"/>
    <w:rsid w:val="00381498"/>
    <w:rsid w:val="003956BC"/>
    <w:rsid w:val="003A44A9"/>
    <w:rsid w:val="003A6F4B"/>
    <w:rsid w:val="003B0F62"/>
    <w:rsid w:val="003B34BE"/>
    <w:rsid w:val="003C1D0B"/>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2CF5"/>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F191F"/>
    <w:rsid w:val="007F24A8"/>
    <w:rsid w:val="007F7F5F"/>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2E80"/>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56B4"/>
    <w:rsid w:val="00A603E4"/>
    <w:rsid w:val="00A61045"/>
    <w:rsid w:val="00A67B42"/>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07C97"/>
    <w:rsid w:val="00C14827"/>
    <w:rsid w:val="00C16571"/>
    <w:rsid w:val="00C168FD"/>
    <w:rsid w:val="00C242D6"/>
    <w:rsid w:val="00C45DDE"/>
    <w:rsid w:val="00C55904"/>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E601A"/>
    <w:rsid w:val="00CE6155"/>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55275"/>
    <w:rsid w:val="00D65AD6"/>
    <w:rsid w:val="00D665C2"/>
    <w:rsid w:val="00D6697E"/>
    <w:rsid w:val="00D73571"/>
    <w:rsid w:val="00D81F93"/>
    <w:rsid w:val="00D86D1E"/>
    <w:rsid w:val="00D95EE2"/>
    <w:rsid w:val="00DA2DAE"/>
    <w:rsid w:val="00DA31D4"/>
    <w:rsid w:val="00DA351D"/>
    <w:rsid w:val="00DA53BA"/>
    <w:rsid w:val="00DA5CBA"/>
    <w:rsid w:val="00DB46C8"/>
    <w:rsid w:val="00DD14C6"/>
    <w:rsid w:val="00DD5320"/>
    <w:rsid w:val="00DD731F"/>
    <w:rsid w:val="00DF0A88"/>
    <w:rsid w:val="00DF27DD"/>
    <w:rsid w:val="00E05C25"/>
    <w:rsid w:val="00E069FC"/>
    <w:rsid w:val="00E122A2"/>
    <w:rsid w:val="00E14D8B"/>
    <w:rsid w:val="00E14DAA"/>
    <w:rsid w:val="00E15ABF"/>
    <w:rsid w:val="00E16A65"/>
    <w:rsid w:val="00E25558"/>
    <w:rsid w:val="00E334B7"/>
    <w:rsid w:val="00E355EA"/>
    <w:rsid w:val="00E41993"/>
    <w:rsid w:val="00E42909"/>
    <w:rsid w:val="00E43091"/>
    <w:rsid w:val="00E51796"/>
    <w:rsid w:val="00E517D1"/>
    <w:rsid w:val="00E568E6"/>
    <w:rsid w:val="00E61082"/>
    <w:rsid w:val="00E642F9"/>
    <w:rsid w:val="00E659B1"/>
    <w:rsid w:val="00E660AA"/>
    <w:rsid w:val="00E71CBD"/>
    <w:rsid w:val="00E7217F"/>
    <w:rsid w:val="00E764C7"/>
    <w:rsid w:val="00E809B4"/>
    <w:rsid w:val="00E8481B"/>
    <w:rsid w:val="00E87C7C"/>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53B6"/>
    <w:rsid w:val="00FC04D9"/>
    <w:rsid w:val="00FE0082"/>
    <w:rsid w:val="00FE0172"/>
    <w:rsid w:val="00FE27EA"/>
    <w:rsid w:val="00FE6802"/>
    <w:rsid w:val="00FE74EE"/>
    <w:rsid w:val="00FF06DC"/>
    <w:rsid w:val="00FF3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sinka@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CC61-6839-4016-91C3-2253C71E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41</Pages>
  <Words>14325</Words>
  <Characters>81653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68</cp:revision>
  <cp:lastPrinted>2018-11-29T11:27:00Z</cp:lastPrinted>
  <dcterms:created xsi:type="dcterms:W3CDTF">2020-01-29T16:13:00Z</dcterms:created>
  <dcterms:modified xsi:type="dcterms:W3CDTF">2020-04-20T09:55:00Z</dcterms:modified>
</cp:coreProperties>
</file>