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367EC6">
        <w:rPr>
          <w:b/>
          <w:u w:val="single"/>
        </w:rPr>
        <w:t>03</w:t>
      </w:r>
      <w:r w:rsidRPr="00C5246F">
        <w:rPr>
          <w:b/>
          <w:u w:val="single"/>
        </w:rPr>
        <w:t xml:space="preserve">» </w:t>
      </w:r>
      <w:proofErr w:type="gramStart"/>
      <w:r w:rsidR="00BE04F7">
        <w:rPr>
          <w:b/>
          <w:u w:val="single"/>
        </w:rPr>
        <w:t xml:space="preserve">сентября </w:t>
      </w:r>
      <w:r w:rsidR="00766183">
        <w:rPr>
          <w:b/>
          <w:u w:val="single"/>
        </w:rPr>
        <w:t xml:space="preserve"> 2021</w:t>
      </w:r>
      <w:proofErr w:type="gramEnd"/>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67EC6"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договора</w:t>
      </w:r>
    </w:p>
    <w:p w:rsidR="0093073F" w:rsidRDefault="00766183" w:rsidP="00FE54C8">
      <w:pPr>
        <w:pStyle w:val="a8"/>
        <w:shd w:val="clear" w:color="auto" w:fill="FFFFFF"/>
        <w:spacing w:before="0" w:beforeAutospacing="0" w:after="0" w:afterAutospacing="0"/>
        <w:jc w:val="center"/>
        <w:rPr>
          <w:b/>
        </w:rPr>
      </w:pPr>
      <w:r>
        <w:rPr>
          <w:b/>
        </w:rPr>
        <w:t xml:space="preserve"> </w:t>
      </w:r>
      <w:r w:rsidR="00FE54C8" w:rsidRPr="00FE54C8">
        <w:rPr>
          <w:b/>
        </w:rPr>
        <w:t xml:space="preserve">на </w:t>
      </w:r>
      <w:r w:rsidR="00742B88">
        <w:rPr>
          <w:b/>
        </w:rPr>
        <w:t>поставку</w:t>
      </w:r>
      <w:r w:rsidR="00742B88" w:rsidRPr="00742B88">
        <w:rPr>
          <w:b/>
        </w:rPr>
        <w:t xml:space="preserve"> </w:t>
      </w:r>
      <w:proofErr w:type="gramStart"/>
      <w:r w:rsidR="00E40259">
        <w:rPr>
          <w:b/>
        </w:rPr>
        <w:t xml:space="preserve">офисной </w:t>
      </w:r>
      <w:r w:rsidR="00367EC6">
        <w:rPr>
          <w:b/>
        </w:rPr>
        <w:t xml:space="preserve"> бумаги</w:t>
      </w:r>
      <w:proofErr w:type="gramEnd"/>
      <w:r w:rsidR="00367EC6">
        <w:rPr>
          <w:b/>
        </w:rPr>
        <w:t xml:space="preserve"> для нужд </w:t>
      </w:r>
      <w:r w:rsidR="00E40259">
        <w:rPr>
          <w:b/>
        </w:rPr>
        <w:t xml:space="preserve"> </w:t>
      </w:r>
      <w:r w:rsidR="00742B88" w:rsidRPr="00742B88">
        <w:rPr>
          <w:b/>
        </w:rPr>
        <w:t>МФЦ</w:t>
      </w:r>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E40259">
      <w:pP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BA2DE6" w:rsidRPr="00367EC6" w:rsidRDefault="00BA2DE6" w:rsidP="00367EC6">
      <w:pPr>
        <w:spacing w:after="200" w:line="276" w:lineRule="auto"/>
        <w:ind w:firstLine="709"/>
        <w:jc w:val="both"/>
        <w:rPr>
          <w:b/>
          <w:snapToGrid w:val="0"/>
          <w:color w:val="000000"/>
        </w:rPr>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proofErr w:type="spellStart"/>
            <w:r w:rsidR="00DC1D2D" w:rsidRPr="009125C3">
              <w:t>mfc-shatura</w:t>
            </w:r>
            <w:r w:rsidR="00061DCE">
              <w:rPr>
                <w:lang w:val="en-US"/>
              </w:rPr>
              <w:t>mr</w:t>
            </w:r>
            <w:proofErr w:type="spellEnd"/>
            <w:r w:rsidR="00061DCE">
              <w:t>@</w:t>
            </w:r>
            <w:proofErr w:type="spellStart"/>
            <w:r w:rsidR="00061DCE">
              <w:rPr>
                <w:lang w:val="en-US"/>
              </w:rPr>
              <w:t>mosreg</w:t>
            </w:r>
            <w:proofErr w:type="spellEnd"/>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367EC6"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sidR="00367EC6">
              <w:rPr>
                <w:b/>
              </w:rPr>
              <w:t xml:space="preserve">офисной бумаги для нужд </w:t>
            </w:r>
            <w:r w:rsidRPr="00742B88">
              <w:rPr>
                <w:b/>
              </w:rPr>
              <w:t>МФЦ</w:t>
            </w:r>
            <w:r>
              <w:rPr>
                <w:b/>
              </w:rPr>
              <w:t xml:space="preserve"> Шатура</w:t>
            </w:r>
          </w:p>
          <w:p w:rsidR="00BA2DE6" w:rsidRPr="006274DD" w:rsidRDefault="00BA2DE6" w:rsidP="00742B88">
            <w:pPr>
              <w:spacing w:line="0" w:lineRule="atLeast"/>
              <w:jc w:val="both"/>
            </w:pP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766183" w:rsidRPr="00FF6D19" w:rsidRDefault="00766183" w:rsidP="005C2C66">
            <w:pPr>
              <w:jc w:val="both"/>
            </w:pP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налогов, сборов и </w:t>
            </w:r>
            <w:r w:rsidRPr="00FF6D19">
              <w:lastRenderedPageBreak/>
              <w:t>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3F61BD" w:rsidRDefault="00177B80" w:rsidP="004C3CF6">
            <w:pPr>
              <w:jc w:val="both"/>
              <w:rPr>
                <w:rFonts w:eastAsia="Calibri"/>
                <w:b/>
                <w:iCs/>
                <w:lang w:eastAsia="en-US"/>
              </w:rPr>
            </w:pPr>
            <w:r>
              <w:rPr>
                <w:rFonts w:eastAsia="Calibri"/>
                <w:b/>
                <w:iCs/>
                <w:lang w:eastAsia="en-US"/>
              </w:rPr>
              <w:t xml:space="preserve"> </w:t>
            </w:r>
            <w:r w:rsidR="00367EC6">
              <w:rPr>
                <w:rFonts w:eastAsia="Calibri"/>
                <w:b/>
                <w:iCs/>
                <w:lang w:eastAsia="en-US"/>
              </w:rPr>
              <w:t>465 021,</w:t>
            </w:r>
            <w:r w:rsidR="003F61BD">
              <w:rPr>
                <w:rFonts w:eastAsia="Calibri"/>
                <w:b/>
                <w:iCs/>
                <w:lang w:eastAsia="en-US"/>
              </w:rPr>
              <w:t xml:space="preserve"> </w:t>
            </w:r>
            <w:proofErr w:type="gramStart"/>
            <w:r w:rsidR="00367EC6">
              <w:rPr>
                <w:rFonts w:eastAsia="Calibri"/>
                <w:b/>
                <w:iCs/>
                <w:lang w:eastAsia="en-US"/>
              </w:rPr>
              <w:t xml:space="preserve">50 </w:t>
            </w:r>
            <w:r w:rsidR="00E40259">
              <w:rPr>
                <w:rFonts w:eastAsia="Calibri"/>
                <w:b/>
                <w:iCs/>
                <w:lang w:eastAsia="en-US"/>
              </w:rPr>
              <w:t xml:space="preserve"> </w:t>
            </w:r>
            <w:r w:rsidR="00AF2A73" w:rsidRPr="00AF2A73">
              <w:rPr>
                <w:rFonts w:eastAsia="Calibri"/>
                <w:b/>
                <w:iCs/>
                <w:lang w:eastAsia="en-US"/>
              </w:rPr>
              <w:t>(</w:t>
            </w:r>
            <w:proofErr w:type="gramEnd"/>
            <w:r w:rsidR="00367EC6">
              <w:rPr>
                <w:rFonts w:eastAsia="Calibri"/>
                <w:b/>
                <w:iCs/>
                <w:lang w:eastAsia="en-US"/>
              </w:rPr>
              <w:t xml:space="preserve">четыреста шестьдесят пять тысяч двадцать один </w:t>
            </w:r>
            <w:r w:rsidR="003F61BD">
              <w:rPr>
                <w:rFonts w:eastAsia="Calibri"/>
                <w:b/>
                <w:iCs/>
                <w:lang w:eastAsia="en-US"/>
              </w:rPr>
              <w:t>рубль 50 копеек)</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367EC6"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3F61BD" w:rsidP="00936A3D">
            <w:pPr>
              <w:autoSpaceDE w:val="0"/>
              <w:autoSpaceDN w:val="0"/>
              <w:adjustRightInd w:val="0"/>
              <w:jc w:val="both"/>
              <w:rPr>
                <w:b/>
              </w:rPr>
            </w:pPr>
            <w:r>
              <w:rPr>
                <w:b/>
              </w:rPr>
              <w:t>06</w:t>
            </w:r>
            <w:r w:rsidR="00791902" w:rsidRPr="000A6160">
              <w:rPr>
                <w:b/>
              </w:rPr>
              <w:t>.</w:t>
            </w:r>
            <w:r w:rsidR="00766183">
              <w:rPr>
                <w:b/>
              </w:rPr>
              <w:t>0</w:t>
            </w:r>
            <w:r w:rsidR="00BE04F7">
              <w:rPr>
                <w:b/>
              </w:rPr>
              <w:t>9</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sidR="00177B80">
              <w:rPr>
                <w:b/>
              </w:rPr>
              <w:t>09</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3F61BD" w:rsidP="003571C1">
            <w:pPr>
              <w:jc w:val="both"/>
              <w:rPr>
                <w:b/>
              </w:rPr>
            </w:pPr>
            <w:r>
              <w:rPr>
                <w:b/>
              </w:rPr>
              <w:t>20</w:t>
            </w:r>
            <w:r w:rsidR="00CF5781" w:rsidRPr="000A6160">
              <w:rPr>
                <w:b/>
              </w:rPr>
              <w:t>.</w:t>
            </w:r>
            <w:r w:rsidR="00766183">
              <w:rPr>
                <w:b/>
              </w:rPr>
              <w:t>0</w:t>
            </w:r>
            <w:r w:rsidR="002F45D6">
              <w:rPr>
                <w:b/>
              </w:rPr>
              <w:t>9</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3F61BD" w:rsidP="00A91132">
            <w:pPr>
              <w:jc w:val="both"/>
              <w:rPr>
                <w:b/>
              </w:rPr>
            </w:pPr>
            <w:r>
              <w:rPr>
                <w:b/>
              </w:rPr>
              <w:t>21</w:t>
            </w:r>
            <w:r w:rsidR="00766183">
              <w:rPr>
                <w:b/>
              </w:rPr>
              <w:t>.0</w:t>
            </w:r>
            <w:r w:rsidR="002F45D6">
              <w:rPr>
                <w:b/>
              </w:rPr>
              <w:t>9</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60117C">
              <w:t>14</w:t>
            </w:r>
            <w:r w:rsidRPr="00FE54C8">
              <w:t xml:space="preserve"> (</w:t>
            </w:r>
            <w:r w:rsidR="0060117C">
              <w:t>четырнадцать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w:t>
            </w:r>
            <w:r w:rsidRPr="00FF6D19">
              <w:rPr>
                <w:rFonts w:ascii="Times New Roman" w:hAnsi="Times New Roman" w:cs="Times New Roman"/>
                <w:sz w:val="24"/>
                <w:szCs w:val="24"/>
              </w:rPr>
              <w:lastRenderedPageBreak/>
              <w:t xml:space="preserve">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FF6D19">
              <w:rPr>
                <w:rFonts w:ascii="Times New Roman" w:hAnsi="Times New Roman" w:cs="Times New Roman"/>
                <w:sz w:val="24"/>
                <w:szCs w:val="24"/>
              </w:rPr>
              <w:lastRenderedPageBreak/>
              <w:t>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w:t>
            </w:r>
            <w:r w:rsidRPr="008C0C63">
              <w:rPr>
                <w:b/>
                <w:i/>
                <w:sz w:val="26"/>
                <w:szCs w:val="26"/>
              </w:rPr>
              <w:lastRenderedPageBreak/>
              <w:t>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w:t>
            </w:r>
            <w:r w:rsidRPr="00FF6D19">
              <w:lastRenderedPageBreak/>
              <w:t>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w:t>
            </w:r>
            <w:r w:rsidRPr="00FF6D19">
              <w:lastRenderedPageBreak/>
              <w:t>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w:t>
            </w:r>
            <w:r w:rsidR="00C73590" w:rsidRPr="00FF6D19">
              <w:rPr>
                <w:rFonts w:ascii="Times New Roman" w:hAnsi="Times New Roman" w:cs="Times New Roman"/>
                <w:sz w:val="24"/>
                <w:szCs w:val="24"/>
              </w:rPr>
              <w:lastRenderedPageBreak/>
              <w:t xml:space="preserve">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w:t>
            </w:r>
            <w:r w:rsidR="00970905" w:rsidRPr="00FF6D19">
              <w:lastRenderedPageBreak/>
              <w:t>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w:t>
            </w:r>
            <w:r w:rsidRPr="00FF6D19">
              <w:lastRenderedPageBreak/>
              <w:t>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w:t>
            </w:r>
            <w:r w:rsidR="00BE0D77" w:rsidRPr="00FF6D19">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lastRenderedPageBreak/>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w:t>
            </w:r>
            <w:r w:rsidR="00BE0D77" w:rsidRPr="00FF6D19">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lastRenderedPageBreak/>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lastRenderedPageBreak/>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lastRenderedPageBreak/>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w:t>
      </w:r>
      <w:r w:rsidR="00E7217F" w:rsidRPr="00A91877">
        <w:rPr>
          <w:rFonts w:ascii="Times New Roman" w:hAnsi="Times New Roman" w:cs="Times New Roman"/>
          <w:sz w:val="24"/>
          <w:szCs w:val="24"/>
        </w:rPr>
        <w:lastRenderedPageBreak/>
        <w:t>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xml:space="preserve">, победитель конкурентной закупки в электронной форме размещает на электронной </w:t>
      </w:r>
      <w:r w:rsidRPr="00FF6D19">
        <w:rPr>
          <w:rFonts w:ascii="Times New Roman" w:hAnsi="Times New Roman" w:cs="Times New Roman"/>
          <w:sz w:val="24"/>
          <w:szCs w:val="24"/>
        </w:rPr>
        <w:lastRenderedPageBreak/>
        <w:t>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Pr>
          <w:b/>
        </w:rPr>
        <w:t>оф</w:t>
      </w:r>
      <w:r w:rsidR="003F61BD">
        <w:rPr>
          <w:b/>
        </w:rPr>
        <w:t>исной бумаги для нужд</w:t>
      </w:r>
      <w:r>
        <w:rPr>
          <w:b/>
        </w:rPr>
        <w:t xml:space="preserve"> </w:t>
      </w:r>
      <w:r w:rsidRPr="00742B88">
        <w:rPr>
          <w:b/>
        </w:rPr>
        <w:t>МФЦ</w:t>
      </w:r>
      <w:r>
        <w:rPr>
          <w:b/>
        </w:rPr>
        <w:t xml:space="preserve"> Шатура</w:t>
      </w:r>
    </w:p>
    <w:p w:rsidR="00E40259" w:rsidRPr="0079713E" w:rsidRDefault="00E40259" w:rsidP="0079713E">
      <w:pPr>
        <w:jc w:val="center"/>
        <w:rPr>
          <w:b/>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950"/>
        <w:gridCol w:w="919"/>
        <w:gridCol w:w="766"/>
        <w:gridCol w:w="1859"/>
        <w:gridCol w:w="1544"/>
        <w:gridCol w:w="1544"/>
        <w:gridCol w:w="1327"/>
        <w:gridCol w:w="1631"/>
        <w:gridCol w:w="1244"/>
        <w:gridCol w:w="354"/>
        <w:gridCol w:w="1320"/>
      </w:tblGrid>
      <w:tr w:rsidR="00DF38E7" w:rsidRPr="00DF38E7" w:rsidTr="00936A3D">
        <w:trPr>
          <w:gridAfter w:val="2"/>
          <w:wAfter w:w="1674" w:type="dxa"/>
          <w:trHeight w:val="450"/>
          <w:jc w:val="center"/>
        </w:trPr>
        <w:tc>
          <w:tcPr>
            <w:tcW w:w="13669" w:type="dxa"/>
            <w:gridSpan w:val="10"/>
            <w:tcBorders>
              <w:top w:val="nil"/>
              <w:left w:val="nil"/>
              <w:bottom w:val="nil"/>
              <w:right w:val="nil"/>
            </w:tcBorders>
            <w:shd w:val="clear" w:color="auto" w:fill="auto"/>
            <w:hideMark/>
          </w:tcPr>
          <w:p w:rsidR="00DF38E7" w:rsidRDefault="00DF38E7" w:rsidP="00DF38E7">
            <w:pPr>
              <w:spacing w:after="240"/>
              <w:rPr>
                <w:b/>
                <w:bCs/>
                <w:color w:val="000000"/>
              </w:rPr>
            </w:pPr>
            <w:bookmarkStart w:id="21"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1"/>
          </w:p>
        </w:tc>
      </w:tr>
      <w:tr w:rsidR="00DF38E7" w:rsidRPr="00DF38E7" w:rsidTr="00936A3D">
        <w:trPr>
          <w:trHeight w:val="330"/>
          <w:jc w:val="center"/>
        </w:trPr>
        <w:tc>
          <w:tcPr>
            <w:tcW w:w="885" w:type="dxa"/>
            <w:tcBorders>
              <w:top w:val="nil"/>
              <w:left w:val="nil"/>
              <w:bottom w:val="nil"/>
              <w:right w:val="nil"/>
            </w:tcBorders>
            <w:shd w:val="clear" w:color="auto" w:fill="auto"/>
            <w:noWrap/>
            <w:vAlign w:val="center"/>
            <w:hideMark/>
          </w:tcPr>
          <w:p w:rsidR="00DF38E7" w:rsidRPr="00DF38E7" w:rsidRDefault="00DF38E7" w:rsidP="00DF38E7">
            <w:pPr>
              <w:spacing w:after="240"/>
              <w:jc w:val="center"/>
              <w:rPr>
                <w:b/>
                <w:bCs/>
                <w:color w:val="00000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jc w:val="cente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1395"/>
          <w:jc w:val="center"/>
        </w:trPr>
        <w:tc>
          <w:tcPr>
            <w:tcW w:w="13669" w:type="dxa"/>
            <w:gridSpan w:val="10"/>
            <w:tcBorders>
              <w:top w:val="nil"/>
              <w:left w:val="nil"/>
              <w:bottom w:val="nil"/>
              <w:right w:val="nil"/>
            </w:tcBorders>
            <w:shd w:val="clear" w:color="auto" w:fill="auto"/>
            <w:hideMark/>
          </w:tcPr>
          <w:p w:rsidR="0060117C" w:rsidRDefault="0060117C" w:rsidP="003245A7">
            <w:pPr>
              <w:rPr>
                <w:color w:val="000000"/>
              </w:rPr>
            </w:pPr>
          </w:p>
          <w:p w:rsidR="00E40259" w:rsidRDefault="00E40259" w:rsidP="00E40259">
            <w:pPr>
              <w:pStyle w:val="a8"/>
              <w:shd w:val="clear" w:color="auto" w:fill="FFFFFF"/>
              <w:spacing w:before="0" w:beforeAutospacing="0" w:after="0" w:afterAutospacing="0"/>
              <w:jc w:val="center"/>
              <w:rPr>
                <w:b/>
              </w:rPr>
            </w:pPr>
            <w:r>
              <w:rPr>
                <w:b/>
              </w:rPr>
              <w:t>поставку</w:t>
            </w:r>
            <w:r w:rsidRPr="00742B88">
              <w:rPr>
                <w:b/>
              </w:rPr>
              <w:t xml:space="preserve"> </w:t>
            </w:r>
            <w:r>
              <w:rPr>
                <w:b/>
              </w:rPr>
              <w:t xml:space="preserve">офисной </w:t>
            </w:r>
            <w:r w:rsidR="003F61BD">
              <w:rPr>
                <w:b/>
              </w:rPr>
              <w:t xml:space="preserve">бумаги для нужд </w:t>
            </w:r>
            <w:r w:rsidRPr="00742B88">
              <w:rPr>
                <w:b/>
              </w:rPr>
              <w:t>МФЦ</w:t>
            </w:r>
            <w:r>
              <w:rPr>
                <w:b/>
              </w:rPr>
              <w:t xml:space="preserve"> Шатура</w:t>
            </w:r>
          </w:p>
          <w:p w:rsidR="00DF38E7" w:rsidRPr="00DF38E7" w:rsidRDefault="00DF38E7" w:rsidP="00DF38E7">
            <w:pPr>
              <w:jc w:val="center"/>
              <w:rPr>
                <w:color w:val="000000"/>
              </w:rPr>
            </w:pPr>
          </w:p>
        </w:tc>
      </w:tr>
      <w:tr w:rsidR="00DF38E7" w:rsidRPr="00DF38E7" w:rsidTr="00936A3D">
        <w:trPr>
          <w:gridAfter w:val="2"/>
          <w:wAfter w:w="1674" w:type="dxa"/>
          <w:trHeight w:val="300"/>
          <w:jc w:val="center"/>
        </w:trPr>
        <w:tc>
          <w:tcPr>
            <w:tcW w:w="13669" w:type="dxa"/>
            <w:gridSpan w:val="10"/>
            <w:tcBorders>
              <w:top w:val="single" w:sz="4" w:space="0" w:color="auto"/>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r w:rsidRPr="00DF38E7">
              <w:rPr>
                <w:i/>
                <w:iCs/>
                <w:color w:val="000000"/>
                <w:sz w:val="20"/>
                <w:szCs w:val="20"/>
              </w:rPr>
              <w:t>(предмет контракта)</w:t>
            </w:r>
          </w:p>
        </w:tc>
      </w:tr>
      <w:tr w:rsidR="00DF38E7" w:rsidRPr="00DF38E7" w:rsidTr="00936A3D">
        <w:trPr>
          <w:trHeight w:val="165"/>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31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E7" w:rsidRPr="00DF38E7" w:rsidRDefault="00DF38E7" w:rsidP="00DF38E7">
            <w:pPr>
              <w:rPr>
                <w:b/>
                <w:bCs/>
                <w:color w:val="000000"/>
                <w:sz w:val="22"/>
                <w:szCs w:val="22"/>
              </w:rPr>
            </w:pPr>
            <w:r w:rsidRPr="00DF38E7">
              <w:rPr>
                <w:b/>
                <w:bCs/>
                <w:color w:val="000000"/>
                <w:sz w:val="22"/>
                <w:szCs w:val="22"/>
              </w:rPr>
              <w:t>Основные характеристики объекта закупки</w:t>
            </w:r>
          </w:p>
        </w:tc>
        <w:tc>
          <w:tcPr>
            <w:tcW w:w="1083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38E7" w:rsidRPr="00DF38E7" w:rsidRDefault="00DF38E7" w:rsidP="00DF38E7">
            <w:pPr>
              <w:rPr>
                <w:color w:val="000000"/>
                <w:sz w:val="22"/>
                <w:szCs w:val="22"/>
              </w:rPr>
            </w:pPr>
            <w:r w:rsidRPr="00DF38E7">
              <w:rPr>
                <w:color w:val="000000"/>
                <w:sz w:val="22"/>
                <w:szCs w:val="22"/>
              </w:rPr>
              <w:t>В соответствии с техническими требованиями</w:t>
            </w:r>
          </w:p>
        </w:tc>
      </w:tr>
      <w:tr w:rsidR="00DF38E7" w:rsidRPr="00DF38E7" w:rsidTr="00936A3D">
        <w:trPr>
          <w:gridAfter w:val="2"/>
          <w:wAfter w:w="1674" w:type="dxa"/>
          <w:trHeight w:val="313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rPr>
                <w:b/>
                <w:bCs/>
                <w:color w:val="000000"/>
                <w:sz w:val="22"/>
                <w:szCs w:val="22"/>
              </w:rPr>
            </w:pPr>
            <w:r w:rsidRPr="00DF38E7">
              <w:rPr>
                <w:b/>
                <w:bCs/>
                <w:color w:val="000000"/>
                <w:sz w:val="22"/>
                <w:szCs w:val="22"/>
              </w:rPr>
              <w:t xml:space="preserve">Используемый метод определения НМЦК </w:t>
            </w:r>
            <w:r w:rsidRPr="00DF38E7">
              <w:rPr>
                <w:b/>
                <w:bCs/>
                <w:color w:val="000000"/>
                <w:sz w:val="22"/>
                <w:szCs w:val="22"/>
              </w:rPr>
              <w:br/>
              <w:t>с обоснованием:</w:t>
            </w:r>
          </w:p>
        </w:tc>
        <w:tc>
          <w:tcPr>
            <w:tcW w:w="10834" w:type="dxa"/>
            <w:gridSpan w:val="8"/>
            <w:tcBorders>
              <w:top w:val="single" w:sz="4" w:space="0" w:color="auto"/>
              <w:left w:val="nil"/>
              <w:bottom w:val="single" w:sz="4" w:space="0" w:color="auto"/>
              <w:right w:val="single" w:sz="4" w:space="0" w:color="auto"/>
            </w:tcBorders>
            <w:shd w:val="clear" w:color="auto" w:fill="auto"/>
            <w:hideMark/>
          </w:tcPr>
          <w:p w:rsidR="00DF38E7" w:rsidRPr="00DF38E7" w:rsidRDefault="00DF38E7" w:rsidP="00DF38E7">
            <w:pPr>
              <w:rPr>
                <w:color w:val="000000"/>
                <w:sz w:val="22"/>
                <w:szCs w:val="22"/>
              </w:rPr>
            </w:pPr>
            <w:r w:rsidRPr="00DF38E7">
              <w:rPr>
                <w:color w:val="000000"/>
                <w:sz w:val="22"/>
                <w:szCs w:val="22"/>
              </w:rPr>
              <w:t>Метод сопоставимых рыночных цен (анализа рынка)</w:t>
            </w:r>
            <w:r w:rsidRPr="00DF38E7">
              <w:rPr>
                <w:color w:val="000000"/>
                <w:sz w:val="22"/>
                <w:szCs w:val="22"/>
              </w:rPr>
              <w:br/>
              <w:t>В соответствии с разделом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метод сопоставимых рыночных цен (анализа рынка) является приоритетным для определения и обоснования начальной (максимальной) цены договора.</w:t>
            </w:r>
            <w:r w:rsidRPr="00DF38E7">
              <w:rPr>
                <w:color w:val="000000"/>
                <w:sz w:val="22"/>
                <w:szCs w:val="22"/>
              </w:rPr>
              <w:br/>
            </w:r>
            <w:r w:rsidRPr="00DF38E7">
              <w:rPr>
                <w:color w:val="000000"/>
                <w:sz w:val="22"/>
                <w:szCs w:val="22"/>
              </w:rPr>
              <w:br/>
              <w:t xml:space="preserve">В соответствии с ч. III Приказа Минэкономразвития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целях получения ценовой информации в отношении услуги (работы) для определения НМЦК направлены запросы предоставления ценовой информации исполнителям, обладающим опытом поставок соответствующих услуг (работ), информация о которых имеется в свободном доступе. </w:t>
            </w:r>
          </w:p>
        </w:tc>
      </w:tr>
      <w:tr w:rsidR="00DF38E7" w:rsidRPr="00DF38E7" w:rsidTr="00936A3D">
        <w:trPr>
          <w:trHeight w:val="300"/>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rPr>
                <w:color w:val="000000"/>
                <w:sz w:val="22"/>
                <w:szCs w:val="22"/>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Default="00DF38E7"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Pr="00DF38E7" w:rsidRDefault="00954E42"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r>
      <w:tr w:rsidR="00DF38E7" w:rsidRPr="00DF38E7" w:rsidTr="00936A3D">
        <w:trPr>
          <w:gridAfter w:val="2"/>
          <w:wAfter w:w="1674" w:type="dxa"/>
          <w:trHeight w:val="105"/>
          <w:jc w:val="center"/>
        </w:trPr>
        <w:tc>
          <w:tcPr>
            <w:tcW w:w="13669" w:type="dxa"/>
            <w:gridSpan w:val="10"/>
            <w:tcBorders>
              <w:top w:val="nil"/>
              <w:left w:val="nil"/>
              <w:bottom w:val="single" w:sz="4" w:space="0" w:color="auto"/>
              <w:right w:val="nil"/>
            </w:tcBorders>
            <w:shd w:val="clear" w:color="auto" w:fill="auto"/>
            <w:vAlign w:val="center"/>
            <w:hideMark/>
          </w:tcPr>
          <w:p w:rsidR="003245A7" w:rsidRDefault="00DF38E7" w:rsidP="003245A7">
            <w:pPr>
              <w:pStyle w:val="a3"/>
              <w:autoSpaceDE w:val="0"/>
              <w:rPr>
                <w:b/>
                <w:bCs/>
              </w:rPr>
            </w:pPr>
            <w:r w:rsidRPr="00DF38E7">
              <w:rPr>
                <w:b/>
                <w:bCs/>
                <w:i/>
                <w:iCs/>
                <w:color w:val="000000"/>
                <w:sz w:val="22"/>
                <w:szCs w:val="22"/>
              </w:rPr>
              <w:t xml:space="preserve">Расчет начальной (максимальной) цены контракта </w:t>
            </w:r>
            <w:r w:rsidR="003245A7">
              <w:rPr>
                <w:b/>
                <w:bCs/>
              </w:rPr>
              <w:t>Прилагается отдельным файлом (приложение №3)</w:t>
            </w:r>
          </w:p>
          <w:p w:rsidR="00DF38E7" w:rsidRDefault="00DF38E7"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Default="0060117C" w:rsidP="00DF38E7">
            <w:pPr>
              <w:jc w:val="center"/>
              <w:rPr>
                <w:b/>
                <w:bCs/>
                <w:i/>
                <w:iCs/>
                <w:color w:val="000000"/>
                <w:sz w:val="22"/>
                <w:szCs w:val="22"/>
              </w:rPr>
            </w:pPr>
          </w:p>
          <w:p w:rsidR="0060117C" w:rsidRPr="00DF38E7" w:rsidRDefault="0060117C" w:rsidP="00DF38E7">
            <w:pPr>
              <w:jc w:val="center"/>
              <w:rPr>
                <w:b/>
                <w:bCs/>
                <w:i/>
                <w:iCs/>
                <w:color w:val="000000"/>
                <w:sz w:val="22"/>
                <w:szCs w:val="22"/>
              </w:rPr>
            </w:pPr>
          </w:p>
        </w:tc>
      </w:tr>
      <w:tr w:rsidR="00DF38E7" w:rsidRPr="00DF38E7" w:rsidTr="00936A3D">
        <w:trPr>
          <w:trHeight w:val="315"/>
          <w:jc w:val="center"/>
        </w:trPr>
        <w:tc>
          <w:tcPr>
            <w:tcW w:w="885" w:type="dxa"/>
            <w:tcBorders>
              <w:top w:val="nil"/>
              <w:left w:val="nil"/>
              <w:bottom w:val="nil"/>
              <w:right w:val="nil"/>
            </w:tcBorders>
            <w:shd w:val="clear" w:color="auto" w:fill="auto"/>
            <w:hideMark/>
          </w:tcPr>
          <w:p w:rsidR="00DF38E7" w:rsidRPr="00DF38E7" w:rsidRDefault="00DF38E7" w:rsidP="00DF38E7"/>
        </w:tc>
        <w:tc>
          <w:tcPr>
            <w:tcW w:w="1950"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936A3D">
            <w:pPr>
              <w:rPr>
                <w:color w:val="000000"/>
              </w:rPr>
            </w:pPr>
            <w:r w:rsidRPr="00DF38E7">
              <w:rPr>
                <w:color w:val="000000"/>
              </w:rPr>
              <w:t>Директор    __________</w:t>
            </w:r>
            <w:r w:rsidR="00E40259">
              <w:rPr>
                <w:color w:val="000000"/>
              </w:rPr>
              <w:t>_</w:t>
            </w:r>
            <w:r w:rsidR="003F61BD">
              <w:rPr>
                <w:color w:val="000000"/>
              </w:rPr>
              <w:t>_________/Ю.М. Ильичева/     "03</w:t>
            </w:r>
            <w:bookmarkStart w:id="22" w:name="_GoBack"/>
            <w:bookmarkEnd w:id="22"/>
            <w:r w:rsidRPr="00DF38E7">
              <w:rPr>
                <w:color w:val="000000"/>
              </w:rPr>
              <w:t xml:space="preserve">" </w:t>
            </w:r>
            <w:r w:rsidR="00BE04F7">
              <w:rPr>
                <w:color w:val="000000"/>
              </w:rPr>
              <w:t>сентября</w:t>
            </w:r>
            <w:r w:rsidRPr="00DF38E7">
              <w:rPr>
                <w:color w:val="000000"/>
              </w:rPr>
              <w:t xml:space="preserve"> 2021 года</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r w:rsidRPr="00DF38E7">
              <w:rPr>
                <w:color w:val="000000"/>
                <w:sz w:val="16"/>
                <w:szCs w:val="16"/>
              </w:rPr>
              <w:t xml:space="preserve">     должность                        подпись                                       Ф.И.О.</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DF" w:rsidRDefault="00FF76DF" w:rsidP="00270664">
      <w:r>
        <w:separator/>
      </w:r>
    </w:p>
  </w:endnote>
  <w:endnote w:type="continuationSeparator" w:id="0">
    <w:p w:rsidR="00FF76DF" w:rsidRDefault="00FF76D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DF" w:rsidRDefault="00FF76DF" w:rsidP="00270664">
      <w:r>
        <w:separator/>
      </w:r>
    </w:p>
  </w:footnote>
  <w:footnote w:type="continuationSeparator" w:id="0">
    <w:p w:rsidR="00FF76DF" w:rsidRDefault="00FF76DF"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2F45D6"/>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67EC6"/>
    <w:rsid w:val="003710DA"/>
    <w:rsid w:val="003733B0"/>
    <w:rsid w:val="003740E9"/>
    <w:rsid w:val="00377E6A"/>
    <w:rsid w:val="003809A1"/>
    <w:rsid w:val="003950D7"/>
    <w:rsid w:val="00395376"/>
    <w:rsid w:val="003956BC"/>
    <w:rsid w:val="003A229D"/>
    <w:rsid w:val="003A6F4B"/>
    <w:rsid w:val="003B0F62"/>
    <w:rsid w:val="003E1772"/>
    <w:rsid w:val="003F5A72"/>
    <w:rsid w:val="003F61BD"/>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4F7"/>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16C7"/>
    <w:rsid w:val="00CE667C"/>
    <w:rsid w:val="00CF5781"/>
    <w:rsid w:val="00CF6947"/>
    <w:rsid w:val="00D03B50"/>
    <w:rsid w:val="00D05432"/>
    <w:rsid w:val="00D056CA"/>
    <w:rsid w:val="00D06566"/>
    <w:rsid w:val="00D13A14"/>
    <w:rsid w:val="00D16119"/>
    <w:rsid w:val="00D25471"/>
    <w:rsid w:val="00D31B38"/>
    <w:rsid w:val="00D33487"/>
    <w:rsid w:val="00D34695"/>
    <w:rsid w:val="00D518C8"/>
    <w:rsid w:val="00D53230"/>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166"/>
    <w:rsid w:val="00E355EA"/>
    <w:rsid w:val="00E40259"/>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247367"/>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8B0E-C292-4BDB-AEB6-4D7BD933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10977</Words>
  <Characters>62569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11</cp:revision>
  <cp:lastPrinted>2019-01-24T11:42:00Z</cp:lastPrinted>
  <dcterms:created xsi:type="dcterms:W3CDTF">2021-08-10T10:52:00Z</dcterms:created>
  <dcterms:modified xsi:type="dcterms:W3CDTF">2021-09-03T12:28:00Z</dcterms:modified>
</cp:coreProperties>
</file>