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043953-22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(Инструменты зондирующие, бужирующие).</w:t>
      </w:r>
    </w:p>
    <w:p w:rsidR="007C3BF1" w:rsidRDefault="008C2287">
      <w:pPr>
        <w:ind w:left="1418"/>
      </w:pPr>
      <w:r>
        <w:t xml:space="preserve">Цена </w:t>
      </w:r>
      <w:r>
        <w:t>договора</w:t>
      </w:r>
      <w:r>
        <w:t xml:space="preserve">, руб.: </w:t>
      </w:r>
      <w:r>
        <w:t>1 282 795,16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01.21.01.06.14.17</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Аспирационная система для аборта, вакуумная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450,00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60,00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85,00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01.21.01.16.04.08</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Временный уретральный катетер для дренажа,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2 500,00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2 300,00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1 000,00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01.21.01.14.08.02</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Инфузионный катетер для периферических сосудов</w:t>
            </w:r>
          </w:p>
        </w:tc>
        <w:tc>
          <w:tcPr>
            <w:tcW w:w="2430" w:type="dxa"/>
          </w:tcPr>
          <w:p w:rsidR="007C3BF1" w:rsidRDefault="008C2287">
            <w:pPr>
              <w:pStyle w:val="aff1"/>
            </w:pPr>
            <w:r>
              <w:t>(не указано)*</w:t>
            </w:r>
          </w:p>
        </w:tc>
        <w:tc>
          <w:tcPr>
            <w:tcW w:w="1654" w:type="dxa"/>
          </w:tcPr>
          <w:p w:rsidR="007C3BF1" w:rsidRDefault="00DC617C">
            <w:pPr>
              <w:pStyle w:val="aff1"/>
            </w:pPr>
            <w:r w:rsidR="008C2287">
              <w:t>700,00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01.21.01.01.12.06</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Канюля назальная для подачи кислорода при искусственной вентиляции легких с постоянным положительным давлением</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01.21.01.06.14.134</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Катетер аспирационной системы, общего назначения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01.21.01.06.02.307</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Пупочный катетер</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01.21.01.06.02.307</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Пупочный катетер</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01.21.01.06.02.307</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Пупочный катетер</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01.21.01.13.07.314</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Стандартная трахеостомическая трубка,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01.21.01.13.07.314</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Стандартная трахеостомическая трубка,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01.21.01.18.50.70</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Троакар для сердечно-сосудистых/торакальных операций,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01.21.01.18.50.70</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Троакар для сердечно-сосудистых/торакальных операций,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01.21.01.18.50.70</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Троакар для сердечно-сосудистых/торакальных операций,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7,00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01.21.01.18.50.70</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Троакар для сердечно-сосудистых/торакальных операций,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5,00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01.21.01.01.25.97</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Эндотрахеальная трубка с аспирационной манжетой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Аспирационная система для аборта, вакуумная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Временный уретральный катетер для дренажа,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Инфузионный катетер для периферических сосудов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назальная для подачи кислорода при искусственной вентиляции легких с постоянным положительным давлением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аспирационной системы,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Пупочный катетер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Пупочный катетер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Пупочный катетер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Стандартная трахеостомическая трубка,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Стандартная трахеостомическая трубка,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для сердечно-сосудистых/торакальных операций,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для сердечно-сосудистых/торакальных операций,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для сердечно-сосудистых/торакальных операций,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для сердечно-сосудистых/торакальных операций,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Эндотрахеальная трубка с аспирационной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DC617C">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C617C">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C617C">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поставленных изделий медицинского назначения (Инструменты зондирующие, бужирующие).</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независимо от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зондирующие, бужирующие).)</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поставленных изделий медицинского назначения (Инструменты зондирующие, бужирующие).</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поставленных изделий медицинского назначения (Инструменты зондирующие, бужирующие).</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Оплата поставленных изделий медицинского назначения (Инструменты зондирующие, бужирующие).</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