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01.21.02.10.01.01.02.05.01.01</w:t>
            </w:r>
            <w:r w:rsidRPr="002E25F2" w:rsidR="001D322D">
              <w:rPr>
                <w:b/>
                <w:sz w:val="18"/>
                <w:szCs w:val="18"/>
                <w:lang w:val="en-US"/>
              </w:rPr>
              <w:t xml:space="preserve"> / </w:t>
            </w:r>
            <w:r w:rsidRPr="002E25F2" w:rsidR="001D322D">
              <w:rPr>
                <w:sz w:val="18"/>
                <w:szCs w:val="18"/>
                <w:lang w:val="en-US"/>
              </w:rPr>
              <w:t>21.20.10.231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Севофлуран (МНН)</w:t>
            </w:r>
            <w:r w:rsidR="001D322D">
              <w:rPr>
                <w:sz w:val="18"/>
                <w:szCs w:val="18"/>
              </w:rPr>
              <w:t xml:space="preserve"> </w:t>
            </w:r>
            <w:r w:rsidRPr="00652325" w:rsidR="001D322D">
              <w:rPr>
                <w:sz w:val="18"/>
                <w:szCs w:val="18"/>
              </w:rPr>
              <w:t xml:space="preserve">/ </w:t>
            </w:r>
            <w:r w:rsidRPr="002E25F2" w:rsidR="001D322D">
              <w:rPr>
                <w:sz w:val="18"/>
                <w:szCs w:val="18"/>
              </w:rPr>
              <w:t>Севофлуран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лекарственных препаратов (Средства для ингаляционного наркоза)</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Севофлуран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219 344,10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лекарственных препаратов (Средства для ингаляционного наркоза)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(Средства для ингаляционного наркоза)</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(Средства для ингаляционного наркоза))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лекарственных препаратов (Средства для ингаляционного наркоза)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лекарственных препаратов (Средства для ингаляционного наркоза)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лекарственных препаратов (Средства для ингаляционного наркоза)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лекарственных препаратов (Средства для ингаляционного наркоза)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046596-23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