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02.26.05.01</w:t>
            </w:r>
            <w:r w:rsidR="005E1E29">
              <w:rPr>
                <w:b/>
              </w:rPr>
              <w:t xml:space="preserve"> / </w:t>
            </w:r>
            <w:r w:rsidR="005E1E29">
              <w:t>80.10.19.000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(содержанию) систем пожарной сигнализации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02.26.05.01</w:t>
            </w:r>
            <w:r w:rsidR="005E1E29">
              <w:rPr>
                <w:b/>
              </w:rPr>
              <w:t xml:space="preserve"> / </w:t>
            </w:r>
            <w:r w:rsidR="005E1E29">
              <w:t>80.10.19.000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(содержанию) систем пожарной сигнализации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техническому обслуживанию систем пожарной автоматики в зданиях и помещениях ГАУЗ МО «ДГБ»</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по техническому обслуживанию (содержанию) систем пожарной сигнализации</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231 019,98 руб.</w:t>
            </w:r>
            <w:r w:rsidR="0066751E">
              <w:t>*</w:t>
            </w:r>
          </w:p>
          <w:p w:rsidRPr="00445533" w:rsidR="00E32011" w:rsidP="0034747E" w:rsidRDefault="000F5335" w14:paraId="1575AC1F" w14:textId="7D57870B">
            <w:pPr>
              <w:ind w:firstLine="0"/>
            </w:pPr>
            <w:r w:rsidRPr="00445533" w:rsidR="00E870E6">
              <w:t>Услуги по техническому обслуживанию (содержанию) систем пожарной сигнализации</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492 640,02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оказание услуг по техническому обслуживанию систем пожарной автоматики в зданиях и помещениях ГАУЗ МО «ДГБ»</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 30, улица Володарского, дом 2Б,, улица 9 Мая, дом 7В, стр.1, улица Вавилова, д. 1, улица Энтузиастов, д. 19/2</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техническому обслуживанию систем пожарной автоматики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техническому обслуживанию систем пожарной автоматики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066587-22</w:t>
    </w:r>
  </w:p>
  <w:p w:rsidR="008C605E" w:rsidRDefault="008C605E" w14:paraId="41AABE56" w14:textId="77777777">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