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120422-21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реагентов для иммуноферментных исследований</w:t>
      </w:r>
    </w:p>
    <w:p w:rsidR="007C3BF1" w:rsidRDefault="008C2287">
      <w:pPr>
        <w:ind w:left="1418"/>
      </w:pPr>
      <w:r>
        <w:t xml:space="preserve">Цена </w:t>
      </w:r>
      <w:r>
        <w:t>договора</w:t>
      </w:r>
      <w:r>
        <w:t xml:space="preserve">, руб.: </w:t>
      </w:r>
      <w:r>
        <w:t>3 157 299,60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25,00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9,00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25,00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9,00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18,00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18,00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18,00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18,00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18,00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18,00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18,00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18,00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18,00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18,00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32,00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24,00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9,00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22,00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18,00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18,00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18,00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01.21.01.05.04.10176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Специфический антиген гепатоцитов ИВД,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18,00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реагентов для иммуноферментных исследований</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22,00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9,00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24,00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32,00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9,00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9,00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Специфический антиген гепатоцитов ИВД, реагент</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реагентов для иммуноферментных исследований</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реагентов для иммуноферментных исследований)</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реагентов для иммуноферментных исследований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реагентов для иммуноферментных исследований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реагентов для иммуноферментных исследований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реагентов для иммуноферментных исследований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реагентов для иммуноферментных исследований</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реагентов для иммуноферментных исследований</w:t>
            </w:r>
          </w:p>
        </w:tc>
        <w:tc>
          <w:tcPr>
            <w:tcW w:w="679" w:type="pct"/>
            <w:shd w:val="clear" w:color="auto" w:fill="auto"/>
          </w:tcPr>
          <w:p w:rsidR="007C3BF1" w:rsidRDefault="00D2608B">
            <w:pPr>
              <w:pStyle w:val="aff1"/>
              <w:jc w:val="right"/>
            </w:pPr>
            <w:r w:rsidR="008C2287">
              <w:t>5 000,00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реагентов для иммуноферментных исследований</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реагентов для иммуноферментных исследований</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реагентов для иммуноферментных исследований</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реагентов для иммуноферментных исследований</w:t>
            </w:r>
          </w:p>
        </w:tc>
        <w:tc>
          <w:tcPr>
            <w:tcW w:w="679" w:type="pct"/>
            <w:shd w:val="clear" w:color="auto" w:fill="auto"/>
          </w:tcPr>
          <w:p w:rsidR="007C3BF1" w:rsidRDefault="00D2608B">
            <w:pPr>
              <w:pStyle w:val="aff1"/>
              <w:jc w:val="right"/>
            </w:pPr>
            <w:r w:rsidR="008C2287">
              <w:t>5 000,00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