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Семина Елена Ивановна</w:t>
        <w:br/>
        <w:t>Заведующий</w:t>
        <w:br/>
        <w:t>Муниципальное автономное дошкольное образовательное учреждение Михневский центр развития ребенка – детский сад «Осинка» городского округа Ступино</w:t>
        <w:br/>
        <w:t>«04» июня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2 полугодие 2021г</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FE488D5"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6D621E74"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6837487E"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2BE4E975"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07DD05A0"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452D6F9D"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B1FC57B"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CE7EBA9"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38485C21"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4B033E7F"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5681662D"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3D39B699"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6A1ED4C9"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3BD60E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1DFB96F2"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57DA89B2"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75E14BF3"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5F2BA4C2"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285C8D81"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1AD5E57"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7308E63A"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377528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ADCFD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3B0B93B2"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462DE1A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693713F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0105E970"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5AD92715"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57BD2FB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0FDC51AE"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12363DA8"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5E8076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71711584"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A536902"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0CF0358A"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7642B15E"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779B52D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1CC6E1E5"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14D4E08A"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45B6D98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12C3461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6864AF7A"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79ACD454"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765A81C4"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093121B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3CE7E19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26C56154"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7D338B55"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3D754872"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690DF6"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74497A52"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41E6817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43019EC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3035FFE1"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22A639AD"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5DFF5AA4"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84539A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02C13048"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865FC9E"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B9917AA"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B2D8C35"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6D68909D"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F80BC30"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68C05FA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372301FB"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50FD260"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5B067EB2"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33759FE"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1D842B42"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27C4F7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2601E69F"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31F9196F"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C518F97"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FFE6CA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7E9AD925"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15894D2A"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F620D50"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7FA593B8"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0E20FBF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702CBF"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44715D53"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4C160CF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04FD764C"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AAFE50E"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18F2FA58"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C7AB48C"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A6D29A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8E336B1"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1FB61465"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7393658"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58E684AA"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1E7C5E87"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244322AF"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3E964B8C"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26DD07A3"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087AC086"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68389305"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5D6D0573"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3A76F66D"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00D891C9"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0F5D8BDD"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12CB4779"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1B81B60D"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A31DEAF"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4638CC7C"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0C09783B"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2563856"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20BC315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6EBD478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6E6E8C24"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2203299B"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6E5FE1C4"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6520D3"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5A92BFA"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1608C9E6"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A36393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D3F04AC"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35A30BB5"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B04F4B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182C379E"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735E71E6"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09448C07"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25BCAB9B"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52102296"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00BC70F"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6EE059D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2FE4AE88"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73086E3F"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57A54B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61116ED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74D6E17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2944926"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3DC73C8D"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1F6ACFE8"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5FB6B339"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7F067788"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62496D7"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34BB887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196E9585"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426ADED1"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18F2C70E"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34CB105F"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6D3FCD66"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43B7A76F"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79F1E05"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2E4F97B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3E7BD831"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302196AF"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139E8AF9"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44462C4D"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531E688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509BF13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982528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67A3F22E"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178ECE51"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5C8DB9B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441A757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4619948C"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5E64A6C9" w14:textId="3615F091"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w:t>
      </w:r>
      <w:r w:rsidR="001876E7">
        <w:rPr>
          <w:rFonts w:ascii="Times New Roman" w:eastAsia="Times New Roman" w:hAnsi="Times New Roman" w:cs="Times New Roman"/>
          <w:color w:val="auto"/>
          <w:sz w:val="28"/>
          <w:szCs w:val="28"/>
        </w:rPr>
        <w:t>ов</w:t>
      </w:r>
      <w:r w:rsidRPr="00271695">
        <w:rPr>
          <w:rFonts w:ascii="Times New Roman" w:eastAsia="Times New Roman" w:hAnsi="Times New Roman" w:cs="Times New Roman"/>
          <w:color w:val="auto"/>
          <w:sz w:val="28"/>
          <w:szCs w:val="28"/>
        </w:rPr>
        <w:t xml:space="preserve"> запроса предложений в электронной форме, заявк</w:t>
      </w:r>
      <w:r w:rsidR="001876E7">
        <w:rPr>
          <w:rFonts w:ascii="Times New Roman" w:eastAsia="Times New Roman" w:hAnsi="Times New Roman" w:cs="Times New Roman"/>
          <w:color w:val="auto"/>
          <w:sz w:val="28"/>
          <w:szCs w:val="28"/>
        </w:rPr>
        <w:t>ам</w:t>
      </w:r>
      <w:r w:rsidRPr="00271695">
        <w:rPr>
          <w:rFonts w:ascii="Times New Roman" w:eastAsia="Times New Roman" w:hAnsi="Times New Roman" w:cs="Times New Roman"/>
          <w:color w:val="auto"/>
          <w:sz w:val="28"/>
          <w:szCs w:val="28"/>
        </w:rPr>
        <w:t xml:space="preserve"> на участие в запросе предложений в электронной форме котор</w:t>
      </w:r>
      <w:r w:rsidR="001876E7">
        <w:rPr>
          <w:rFonts w:ascii="Times New Roman" w:eastAsia="Times New Roman" w:hAnsi="Times New Roman" w:cs="Times New Roman"/>
          <w:color w:val="auto"/>
          <w:sz w:val="28"/>
          <w:szCs w:val="28"/>
        </w:rPr>
        <w:t>ых</w:t>
      </w:r>
      <w:r w:rsidRPr="00271695">
        <w:rPr>
          <w:rFonts w:ascii="Times New Roman" w:eastAsia="Times New Roman" w:hAnsi="Times New Roman" w:cs="Times New Roman"/>
          <w:color w:val="auto"/>
          <w:sz w:val="28"/>
          <w:szCs w:val="28"/>
        </w:rPr>
        <w:t xml:space="preserve"> присвоен</w:t>
      </w:r>
      <w:r w:rsidR="001876E7">
        <w:rPr>
          <w:rFonts w:ascii="Times New Roman" w:eastAsia="Times New Roman" w:hAnsi="Times New Roman" w:cs="Times New Roman"/>
          <w:color w:val="auto"/>
          <w:sz w:val="28"/>
          <w:szCs w:val="28"/>
        </w:rPr>
        <w:t>ы</w:t>
      </w:r>
      <w:r w:rsidRPr="00271695">
        <w:rPr>
          <w:rFonts w:ascii="Times New Roman" w:eastAsia="Times New Roman" w:hAnsi="Times New Roman" w:cs="Times New Roman"/>
          <w:color w:val="auto"/>
          <w:sz w:val="28"/>
          <w:szCs w:val="28"/>
        </w:rPr>
        <w:t xml:space="preserve"> первый</w:t>
      </w:r>
      <w:r w:rsidR="001876E7">
        <w:rPr>
          <w:rFonts w:ascii="Times New Roman" w:eastAsia="Times New Roman" w:hAnsi="Times New Roman" w:cs="Times New Roman"/>
          <w:color w:val="auto"/>
          <w:sz w:val="28"/>
          <w:szCs w:val="28"/>
        </w:rPr>
        <w:t xml:space="preserve"> и второй</w:t>
      </w:r>
      <w:r w:rsidRPr="00271695">
        <w:rPr>
          <w:rFonts w:ascii="Times New Roman" w:eastAsia="Times New Roman" w:hAnsi="Times New Roman" w:cs="Times New Roman"/>
          <w:color w:val="auto"/>
          <w:sz w:val="28"/>
          <w:szCs w:val="28"/>
        </w:rPr>
        <w:t xml:space="preserve"> номер</w:t>
      </w:r>
      <w:r w:rsidR="001876E7">
        <w:rPr>
          <w:rFonts w:ascii="Times New Roman" w:eastAsia="Times New Roman" w:hAnsi="Times New Roman" w:cs="Times New Roman"/>
          <w:color w:val="auto"/>
          <w:sz w:val="28"/>
          <w:szCs w:val="28"/>
        </w:rPr>
        <w:t>а</w:t>
      </w:r>
      <w:r w:rsidRPr="00271695">
        <w:rPr>
          <w:rFonts w:ascii="Times New Roman" w:eastAsia="Times New Roman" w:hAnsi="Times New Roman" w:cs="Times New Roman"/>
          <w:color w:val="auto"/>
          <w:sz w:val="28"/>
          <w:szCs w:val="28"/>
        </w:rPr>
        <w:t>;</w:t>
      </w:r>
    </w:p>
    <w:p w14:paraId="565F4463" w14:textId="77777777"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FCF5BDD"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7103F537"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3FE32735"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0863E935"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7BF65EA2"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35995886"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56E5E744"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4CE60CB2" w14:textId="0288ED58"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B16D7">
        <w:rPr>
          <w:sz w:val="28"/>
          <w:szCs w:val="28"/>
          <w:shd w:val="clear" w:color="auto" w:fill="FFFFFF" w:themeFill="background1"/>
        </w:rPr>
        <w:t xml:space="preserve"> </w:t>
      </w:r>
      <w:r w:rsidR="002B16D7" w:rsidRPr="002B16D7">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6 пункта 18.9 настоящего раздела документации</w:t>
      </w:r>
      <w:r w:rsidRPr="0040603F">
        <w:rPr>
          <w:sz w:val="28"/>
          <w:szCs w:val="28"/>
          <w:shd w:val="clear" w:color="auto" w:fill="FFFFFF" w:themeFill="background1"/>
        </w:rPr>
        <w:t>, Заказчика.</w:t>
      </w:r>
    </w:p>
    <w:p w14:paraId="3081DF35"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015CC63B"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5F2D6DF8"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lastRenderedPageBreak/>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6CE0A732"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017B283F"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6CC3AEC2"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A143952"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4E7D2E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2C93F3FE" w14:textId="08D7CD26"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если победителем </w:t>
      </w:r>
      <w:r w:rsidR="00174718" w:rsidRPr="00174718">
        <w:rPr>
          <w:rFonts w:ascii="Times New Roman" w:eastAsiaTheme="minorHAnsi" w:hAnsi="Times New Roman" w:cs="Times New Roman"/>
          <w:sz w:val="28"/>
          <w:szCs w:val="28"/>
          <w:shd w:val="clear" w:color="auto" w:fill="FFFFFF" w:themeFill="background1"/>
          <w:lang w:eastAsia="en-US"/>
        </w:rPr>
        <w:t xml:space="preserve">запроса предложений в электронной форме, за исключением победителя, определенного в соответствии с абзацем 6 пункта 18.9 </w:t>
      </w:r>
      <w:r w:rsidR="00174718" w:rsidRPr="00174718">
        <w:rPr>
          <w:rFonts w:ascii="Times New Roman" w:eastAsiaTheme="minorHAnsi" w:hAnsi="Times New Roman" w:cs="Times New Roman"/>
          <w:sz w:val="28"/>
          <w:szCs w:val="28"/>
          <w:shd w:val="clear" w:color="auto" w:fill="FFFFFF" w:themeFill="background1"/>
          <w:lang w:eastAsia="en-US"/>
        </w:rPr>
        <w:lastRenderedPageBreak/>
        <w:t>настоящего раздела документации</w:t>
      </w:r>
      <w:r w:rsidR="00D84436">
        <w:rPr>
          <w:rFonts w:ascii="Times New Roman" w:eastAsiaTheme="minorHAnsi" w:hAnsi="Times New Roman" w:cs="Times New Roman"/>
          <w:sz w:val="28"/>
          <w:szCs w:val="28"/>
          <w:shd w:val="clear" w:color="auto" w:fill="FFFFFF" w:themeFill="background1"/>
          <w:lang w:eastAsia="en-US"/>
        </w:rPr>
        <w:t>,</w:t>
      </w:r>
      <w:r w:rsidR="00174718">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не исполнены указанные требования, такой победитель признается уклонившимся от заключения договора.</w:t>
      </w:r>
    </w:p>
    <w:p w14:paraId="61C40AE1" w14:textId="77777777" w:rsidR="00D84436" w:rsidRDefault="00D6639E" w:rsidP="00585FAE">
      <w:pPr>
        <w:pStyle w:val="ConsPlusNormal"/>
        <w:ind w:firstLine="567"/>
        <w:jc w:val="both"/>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r w:rsidR="00585FAE" w:rsidRPr="00585FAE">
        <w:t xml:space="preserve"> </w:t>
      </w:r>
    </w:p>
    <w:p w14:paraId="25B4BF51" w14:textId="59E5D909"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221C4538"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31983110" w14:textId="77777777" w:rsidR="00585FAE" w:rsidRPr="00585FA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предложений в электронной форме.</w:t>
      </w:r>
    </w:p>
    <w:p w14:paraId="43041098" w14:textId="369F03BC" w:rsidR="00D6639E" w:rsidRDefault="00585FAE" w:rsidP="00585FA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585FAE">
        <w:rPr>
          <w:rFonts w:ascii="Times New Roman" w:eastAsiaTheme="minorHAnsi" w:hAnsi="Times New Roman" w:cs="Times New Roman"/>
          <w:sz w:val="28"/>
          <w:szCs w:val="28"/>
          <w:shd w:val="clear" w:color="auto" w:fill="FFFFFF" w:themeFill="background1"/>
          <w:lang w:eastAsia="en-US"/>
        </w:rPr>
        <w:t>Участник запроса предложений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59743A0" w14:textId="77777777" w:rsidR="00585FAE" w:rsidRPr="0040603F" w:rsidRDefault="00585FA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DFD6F56"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4EA50118"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2B27E12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lastRenderedPageBreak/>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33F5F43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DA74B74"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1606A10C"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175CFF3C"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65B86B46"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6EF84B65"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46716245" w14:textId="77777777" w:rsidR="00CC70B8" w:rsidRPr="0040603F" w:rsidRDefault="00577A5F" w:rsidP="001F4F0A">
      <w:pPr>
        <w:pStyle w:val="1"/>
        <w:rPr>
          <w:color w:val="auto"/>
          <w:shd w:val="clear" w:color="auto" w:fill="FFFFFF" w:themeFill="background1"/>
        </w:rPr>
      </w:pPr>
      <w:r w:rsidRPr="0040603F">
        <w:rPr>
          <w:color w:val="00000A"/>
          <w:lang w:val="en-US"/>
        </w:rPr>
        <w:lastRenderedPageBreak/>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06D3BF38"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045B8C2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471B9E16"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098C928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70DD108A"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6BD0686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354140F5"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5127E4B7"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Михневский центр развития ребенка – детский сад «Осинка» городского округа Ступино</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142840,  Московская обл., Ступинский р-он, п. Михнево, ул. Библиотечная, вл. 20 б.</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142840,  Московская обл., Ступинский р-он, п. Михнево, ул. Библиотечная, вл. 20 б.</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dsosinka@yandex.ru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7-496-6466328</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Семина Елена Ивановна</w:t>
            </w:r>
          </w:p>
        </w:tc>
      </w:tr>
      <w:tr w:rsidR="00CF5F8A" w:rsidRPr="0069451E" w14:paraId="1194451A"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мяса и мясной продукции на 2 полугодие 2021г</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документацией;</w:t>
              <w:br/>
              <w:t>Сроки поставки товара: ;</w:t>
              <w:br/>
              <w:t>Условия поставки товара: </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938 845 (девятьсот тридцать восемь тысяч восемьсот сорок пять) рублей 40 копеек </w:t>
            </w:r>
          </w:p>
        </w:tc>
      </w:tr>
      <w:tr w:rsidR="00B61CF4" w:rsidRPr="0069451E" w14:paraId="3E6AAD3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938 845 рублей 40 копеек</w:t>
              <w:br/>
              <w:t/>
              <w:br/>
              <w:t>ОКПД2: 01.47.11.600 Бройлеры;</w:t>
              <w:br/>
              <w:t>10.11.20.110 Субпродукты пищевые крупного рогатого скота парные, остывшие или охлажденные;</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10.11.2 Производство пищевых субпродуктов в охлажденном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01.13.05.01.01.03.04 Сердце говяжье;</w:t>
              <w:br/>
              <w:t>01.13.05.01.01.02.01 Говядина замороженная первого сорта;</w:t>
              <w:br/>
              <w:t>01.13.05.01.01.03.05 Печень говяжья замороженная;</w:t>
              <w:br/>
              <w:t/>
            </w:r>
          </w:p>
        </w:tc>
      </w:tr>
      <w:tr w:rsidR="00A82A2F" w:rsidRPr="0069451E" w14:paraId="219669BA"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31841039"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
            </w:r>
          </w:p>
        </w:tc>
      </w:tr>
      <w:tr w:rsidR="00B61CF4" w:rsidRPr="0069451E" w14:paraId="300BE0DF"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64180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14:paraId="4C2AA92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02FB1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88A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67A20A07"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79EC9"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7843629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26E56813"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«04» июня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«11» июня 2021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«04» июня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«16» июня 2021 в 10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«16» июня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«16» июня 2021</w:t>
            </w:r>
          </w:p>
          <w:p w14:paraId="14C03B55" w14:textId="77777777" w:rsidR="008C3C95" w:rsidRPr="0069451E" w:rsidRDefault="008C3C95" w:rsidP="008C3C95">
            <w:pPr>
              <w:rPr>
                <w:rFonts w:ascii="Times New Roman" w:eastAsia="Times New Roman" w:hAnsi="Times New Roman"/>
                <w:color w:val="auto"/>
              </w:rPr>
            </w:pPr>
          </w:p>
        </w:tc>
      </w:tr>
      <w:tr w:rsidR="008C3C95" w:rsidRPr="0069451E" w14:paraId="56377C9D"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«17» июня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«17» июня 2021</w:t>
            </w:r>
          </w:p>
        </w:tc>
      </w:tr>
      <w:tr w:rsidR="008C3C95" w:rsidRPr="0069451E" w14:paraId="7FF2576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«18» июня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14:paraId="2F72B4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14:paraId="6CB78DF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14:paraId="43717A2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14:paraId="65EBD5EF"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r w:rsidR="00C32232" w14:paraId="325C61C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FB3EF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BA57"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185407"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D1F7226"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4"/>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04E48" w14:textId="77777777" w:rsidR="009A4F19" w:rsidRDefault="009A4F19">
      <w:r>
        <w:separator/>
      </w:r>
    </w:p>
  </w:endnote>
  <w:endnote w:type="continuationSeparator" w:id="0">
    <w:p w14:paraId="35B866A0" w14:textId="77777777" w:rsidR="009A4F19" w:rsidRDefault="009A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CC59CE" w14:textId="77777777" w:rsidR="009A4F19" w:rsidRDefault="009A4F19">
      <w:r>
        <w:separator/>
      </w:r>
    </w:p>
  </w:footnote>
  <w:footnote w:type="continuationSeparator" w:id="0">
    <w:p w14:paraId="1A323209" w14:textId="77777777" w:rsidR="009A4F19" w:rsidRDefault="009A4F19">
      <w:r>
        <w:continuationSeparator/>
      </w:r>
    </w:p>
  </w:footnote>
  <w:footnote w:id="1">
    <w:p w14:paraId="02967677"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6404D" w14:textId="77777777"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3835</TotalTime>
  <Pages>34</Pages>
  <Words>11120</Words>
  <Characters>63385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74357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255</cp:revision>
  <cp:lastPrinted>2020-02-21T12:46:00Z</cp:lastPrinted>
  <dcterms:created xsi:type="dcterms:W3CDTF">2020-05-22T15:38:00Z</dcterms:created>
  <dcterms:modified xsi:type="dcterms:W3CDTF">2021-02-05T15:40:00Z</dcterms:modified>
</cp:coreProperties>
</file>