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AD7900">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AD7900">
        <w:tc>
          <w:tcPr>
            <w:tcW w:w="2269" w:type="dxa"/>
            <w:tcBorders>
              <w:bottom w:val="single" w:sz="4" w:space="0" w:color="auto"/>
            </w:tcBorders>
            <w:shd w:val="clear" w:color="auto" w:fill="auto"/>
          </w:tcPr>
          <w:p w:rsidR="005E1E29" w:rsidRDefault="005E1E29" w:rsidP="009643D6">
            <w:pPr>
              <w:pStyle w:val="aff2"/>
            </w:pPr>
            <w:r>
              <w:t>02.01.05.22.01</w:t>
            </w:r>
            <w:r>
              <w:rPr>
                <w:b/>
              </w:rPr>
              <w:t xml:space="preserve"> / </w:t>
            </w:r>
            <w:r>
              <w:t>69.20.40.000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13,00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AD7900">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D790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AD790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D790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AD7900">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AD7900">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B94160">
            <w:pPr>
              <w:ind w:firstLine="52"/>
              <w:rPr>
                <w:lang w:val="en-US"/>
              </w:rPr>
            </w:pPr>
          </w:p>
        </w:tc>
      </w:tr>
      <w:tr w:rsidR="00AD7900">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AD7900">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 13,00; Месяц;</w:t>
            </w:r>
          </w:p>
        </w:tc>
      </w:tr>
      <w:tr w:rsidR="00AD7900">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sidR="00B33A8D">
              <w:rPr>
                <w:lang w:val="en-US"/>
              </w:rPr>
              <w:t xml:space="preserve"> </w:t>
            </w:r>
            <w:r>
              <w:rPr>
                <w:lang w:val="en-US"/>
              </w:rPr>
              <w:t>01.11.2021 (МСК);</w:t>
            </w:r>
          </w:p>
          <w:p w:rsidR="00473384" w:rsidRDefault="00473384" w:rsidP="00473384">
            <w:pPr>
              <w:ind w:firstLine="0"/>
              <w:rPr>
                <w:lang w:val="en-US"/>
              </w:rPr>
            </w:pPr>
            <w:r>
              <w:rPr>
                <w:b/>
                <w:lang w:val="en-US"/>
              </w:rPr>
              <w:t>Срок окончания исполнения обязательства, не позднее:</w:t>
            </w:r>
            <w:r w:rsidR="00B33A8D">
              <w:rPr>
                <w:lang w:val="en-US"/>
              </w:rPr>
              <w:t xml:space="preserve"> </w:t>
            </w:r>
            <w:r>
              <w:rPr>
                <w:lang w:val="en-US"/>
              </w:rPr>
              <w:t>31.12.2022 (МСК);</w:t>
            </w:r>
          </w:p>
        </w:tc>
      </w:tr>
    </w:tbl>
    <w:p w:rsidR="00C12237" w:rsidRDefault="00C12237" w:rsidP="00C12237">
      <w:pPr>
        <w:ind w:firstLine="0"/>
        <w:rPr>
          <w:lang w:val="en-US"/>
        </w:rPr>
      </w:pPr>
    </w:p>
    <w:p w:rsidR="00D33546" w:rsidRDefault="00D33546"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AD790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AD7900">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AD7900">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AD790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AD790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D790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AD790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AD790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AD790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AD790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AD790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AD790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AD790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AD790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AD790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AD790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AD790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AD790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D790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AD790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AD790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D790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D790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D790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D790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D790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D790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AD790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AD790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D790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9E6" w:rsidRDefault="00FF09E6">
      <w:r>
        <w:separator/>
      </w:r>
    </w:p>
  </w:endnote>
  <w:endnote w:type="continuationSeparator" w:id="0">
    <w:p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rsidR="004E6B58">
      <w:rPr>
        <w:noProof/>
      </w:rPr>
      <w:t>1</w:t>
    </w:r>
    <w:r>
      <w:fldChar w:fldCharType="end"/>
    </w:r>
    <w:r>
      <w:tab/>
    </w:r>
    <w:r>
      <w:tab/>
    </w:r>
    <w:r>
      <w:rPr>
        <w:shd w:val="clear" w:color="auto" w:fill="FFFFFF"/>
      </w:rPr>
      <w:t xml:space="preserve">Номер позиции плана закупок в </w:t>
    </w:r>
    <w:r>
      <w:t>ЕАСУЗ:103343-21</w:t>
    </w:r>
  </w:p>
  <w:p w:rsidR="007C410C" w:rsidRDefault="007C410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9E6" w:rsidRDefault="00FF09E6">
      <w:r>
        <w:separator/>
      </w:r>
    </w:p>
  </w:footnote>
  <w:footnote w:type="continuationSeparator" w:id="0">
    <w:p w:rsidR="00FF09E6" w:rsidRDefault="00FF0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6B58"/>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D7900"/>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16E3B-0B74-4EE1-B212-F0FC3912B27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2908</Words>
  <Characters>16581</Characters>
  <Application>Microsoft Office Word</Application>
  <DocSecurity>4</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2021-10-13T12:55:00Z</dcterms:created>
  <dcterms:modified xsi:type="dcterms:W3CDTF">2021-10-13T12:55:00Z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