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544"/>
        <w:gridCol w:w="1842"/>
        <w:gridCol w:w="1984"/>
        <w:gridCol w:w="1418"/>
        <w:gridCol w:w="1418"/>
        <w:gridCol w:w="1276"/>
        <w:gridCol w:w="1984"/>
      </w:tblGrid>
      <w:tr>
        <w:trPr>
          <w:cantSplit/>
          <w:tblHeader/>
        </w:trPr>
        <w:tc>
          <w:tcPr>
            <w:tcW w:w="1526" w:type="dxa"/>
            <w:shd w:val="clear" w:color="auto" w:fill="auto"/>
            <w:vAlign w:val="center"/>
          </w:tcPr>
          <w:p w:rsidRPr="006815A3" w:rsidR="00B924CB" w:rsidP="00EF6419" w:rsidRDefault="008C6522" w14:paraId="052FAE3E" w14:textId="7AF346C2">
            <w:pPr>
              <w:pStyle w:val="a8"/>
              <w:keepNext/>
              <w:jc w:val="center"/>
              <w:rPr>
                <w:b/>
                <w:sz w:val="18"/>
                <w:szCs w:val="18"/>
              </w:rPr>
            </w:pPr>
            <w:r w:rsidRPr="002E25F2" w:rsidR="00C6032E">
              <w:rPr>
                <w:rStyle w:val="18"/>
                <w:rFonts w:eastAsiaTheme="minorHAnsi"/>
                <w:sz w:val="18"/>
                <w:szCs w:val="18"/>
              </w:rPr>
              <w:t xml:space="preserve"> КОЗ / ОКПД 2</w:t>
            </w:r>
          </w:p>
        </w:tc>
        <w:tc>
          <w:tcPr>
            <w:tcW w:w="3544" w:type="dxa"/>
            <w:shd w:val="clear" w:color="auto" w:fill="auto"/>
            <w:vAlign w:val="center"/>
          </w:tcPr>
          <w:p w:rsidRPr="006815A3" w:rsidR="00B924CB" w:rsidP="00EF6419" w:rsidRDefault="008D20B5" w14:paraId="113C398C" w14:textId="5968A9EF">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842" w:type="dxa"/>
            <w:vAlign w:val="center"/>
          </w:tcPr>
          <w:p w:rsidRPr="006815A3" w:rsidR="00B924CB" w:rsidP="00EF6419" w:rsidRDefault="00B924CB" w14:paraId="4E786C1A" w14:textId="77777777">
            <w:pPr>
              <w:pStyle w:val="17"/>
              <w:keepNext/>
              <w:jc w:val="center"/>
              <w:rPr>
                <w:sz w:val="18"/>
                <w:szCs w:val="18"/>
              </w:rPr>
            </w:pPr>
            <w:r w:rsidRPr="006815A3">
              <w:rPr>
                <w:sz w:val="18"/>
                <w:szCs w:val="18"/>
              </w:rPr>
              <w:t>Размер НДС</w:t>
            </w:r>
          </w:p>
        </w:tc>
        <w:tc>
          <w:tcPr>
            <w:tcW w:w="1984" w:type="dxa"/>
            <w:vAlign w:val="center"/>
          </w:tcPr>
          <w:p w:rsidRPr="006815A3" w:rsidR="00B924CB" w:rsidP="00EF6419" w:rsidRDefault="00B924CB" w14:paraId="7CD7FCC8" w14:textId="321C7A1B">
            <w:pPr>
              <w:pStyle w:val="17"/>
              <w:keepNext/>
              <w:jc w:val="center"/>
              <w:rPr>
                <w:sz w:val="18"/>
                <w:szCs w:val="18"/>
              </w:rPr>
            </w:pPr>
            <w:r w:rsidRPr="006815A3">
              <w:rPr>
                <w:sz w:val="18"/>
                <w:szCs w:val="18"/>
              </w:rPr>
              <w:t>Общая стоимость без НДС, руб</w:t>
            </w:r>
            <w:r w:rsidRPr="006815A3" w:rsidR="00B56406">
              <w:rPr>
                <w:sz w:val="18"/>
                <w:szCs w:val="18"/>
              </w:rPr>
              <w:t>.</w:t>
            </w:r>
          </w:p>
        </w:tc>
        <w:tc>
          <w:tcPr>
            <w:tcW w:w="1418" w:type="dxa"/>
            <w:vAlign w:val="center"/>
          </w:tcPr>
          <w:p w:rsidRPr="006815A3" w:rsidR="00B924CB" w:rsidP="00EF6419" w:rsidRDefault="00B924CB" w14:paraId="05096E9C" w14:textId="77777777">
            <w:pPr>
              <w:pStyle w:val="17"/>
              <w:keepNext/>
              <w:jc w:val="center"/>
              <w:rPr>
                <w:sz w:val="18"/>
                <w:szCs w:val="18"/>
              </w:rPr>
            </w:pPr>
            <w:r w:rsidRPr="006815A3">
              <w:rPr>
                <w:sz w:val="18"/>
                <w:szCs w:val="18"/>
              </w:rPr>
              <w:t>Размер НДС, руб.</w:t>
            </w:r>
          </w:p>
        </w:tc>
        <w:tc>
          <w:tcPr>
            <w:tcW w:w="1418" w:type="dxa"/>
            <w:shd w:val="clear" w:color="auto" w:fill="auto"/>
            <w:vAlign w:val="center"/>
          </w:tcPr>
          <w:p w:rsidRPr="006815A3" w:rsidR="00B924CB" w:rsidP="00EF6419" w:rsidRDefault="00B924CB" w14:paraId="55E50427" w14:textId="77777777">
            <w:pPr>
              <w:pStyle w:val="17"/>
              <w:keepNext/>
              <w:jc w:val="center"/>
              <w:rPr>
                <w:sz w:val="18"/>
                <w:szCs w:val="18"/>
              </w:rPr>
            </w:pPr>
            <w:r w:rsidRPr="006815A3">
              <w:rPr>
                <w:sz w:val="18"/>
                <w:szCs w:val="18"/>
              </w:rPr>
              <w:t>Общая стоимость, руб.</w:t>
            </w:r>
          </w:p>
        </w:tc>
        <w:tc>
          <w:tcPr>
            <w:tcW w:w="1276" w:type="dxa"/>
            <w:vAlign w:val="center"/>
          </w:tcPr>
          <w:p w:rsidRPr="006815A3" w:rsidR="00B924CB" w:rsidP="00EF6419" w:rsidRDefault="00B924CB" w14:paraId="4DDD2FD2" w14:textId="77777777">
            <w:pPr>
              <w:pStyle w:val="17"/>
              <w:keepNext/>
              <w:jc w:val="center"/>
              <w:rPr>
                <w:sz w:val="18"/>
                <w:szCs w:val="18"/>
              </w:rPr>
            </w:pPr>
            <w:r w:rsidRPr="006815A3">
              <w:rPr>
                <w:sz w:val="18"/>
                <w:szCs w:val="18"/>
              </w:rPr>
              <w:t>Страна происхождения товара</w:t>
            </w:r>
          </w:p>
        </w:tc>
        <w:tc>
          <w:tcPr>
            <w:tcW w:w="1984" w:type="dxa"/>
            <w:vAlign w:val="center"/>
          </w:tcPr>
          <w:p w:rsidRPr="006815A3" w:rsidR="00B924CB" w:rsidP="00EF6419" w:rsidRDefault="00B924CB" w14:paraId="39807B75" w14:textId="77777777">
            <w:pPr>
              <w:pStyle w:val="17"/>
              <w:keepNext/>
              <w:jc w:val="center"/>
              <w:rPr>
                <w:sz w:val="18"/>
                <w:szCs w:val="18"/>
              </w:rPr>
            </w:pPr>
            <w:r w:rsidRPr="006815A3">
              <w:rPr>
                <w:sz w:val="18"/>
                <w:szCs w:val="18"/>
              </w:rPr>
              <w:t>Производитель</w:t>
            </w:r>
          </w:p>
        </w:tc>
      </w:tr>
      <w:tr>
        <w:trPr>
          <w:cantSplit/>
        </w:trPr>
        <w:tc>
          <w:tcPr>
            <w:tcW w:w="1526" w:type="dxa"/>
            <w:tcBorders>
              <w:bottom w:val="single" w:color="auto" w:sz="4" w:space="0"/>
            </w:tcBorders>
            <w:shd w:val="clear" w:color="auto" w:fill="auto"/>
            <w:vAlign w:val="center"/>
          </w:tcPr>
          <w:p w:rsidRPr="006815A3" w:rsidR="00B924CB" w:rsidP="00A430DC" w:rsidRDefault="008C6522" w14:paraId="3EB1D99A" w14:textId="119438D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01.08.01.03.04.06</w:t>
            </w:r>
            <w:r w:rsidRPr="002E25F2" w:rsidR="008A5607">
              <w:rPr>
                <w:b/>
                <w:sz w:val="18"/>
                <w:szCs w:val="18"/>
                <w:lang w:val="en-US"/>
              </w:rPr>
              <w:t xml:space="preserve"> / </w:t>
            </w:r>
            <w:r w:rsidRPr="002E25F2" w:rsidR="008A5607">
              <w:rPr>
                <w:sz w:val="18"/>
                <w:szCs w:val="18"/>
                <w:lang w:val="en-US"/>
              </w:rPr>
              <w:t>19.20.21.125</w:t>
            </w:r>
          </w:p>
        </w:tc>
        <w:tc>
          <w:tcPr>
            <w:tcW w:w="3544" w:type="dxa"/>
            <w:tcBorders>
              <w:bottom w:val="single" w:color="auto" w:sz="4" w:space="0"/>
            </w:tcBorders>
            <w:shd w:val="clear" w:color="auto" w:fill="auto"/>
            <w:vAlign w:val="center"/>
          </w:tcPr>
          <w:p w:rsidRPr="006815A3" w:rsidR="00B924CB" w:rsidP="001913A1" w:rsidRDefault="008C6522" w14:paraId="47F5B2AD" w14:textId="7073D926">
            <w:pPr>
              <w:pStyle w:val="a8"/>
              <w:rPr>
                <w:sz w:val="18"/>
                <w:szCs w:val="18"/>
                <w:lang w:val="en-US"/>
              </w:rPr>
            </w:pPr>
            <w:r w:rsidRPr="002E25F2" w:rsidR="00DB3537">
              <w:rPr>
                <w:sz w:val="18"/>
                <w:szCs w:val="18"/>
              </w:rPr>
              <w:t>Бензин автомобильный АИ-92 экологического класса не ниже К5</w:t>
            </w:r>
            <w:r w:rsidR="00DB3537">
              <w:rPr>
                <w:sz w:val="18"/>
                <w:szCs w:val="18"/>
              </w:rPr>
              <w:t xml:space="preserve"> </w:t>
            </w:r>
            <w:r w:rsidRPr="00652325" w:rsidR="00DB3537">
              <w:rPr>
                <w:sz w:val="18"/>
                <w:szCs w:val="18"/>
              </w:rPr>
              <w:t xml:space="preserve">/ </w:t>
            </w:r>
            <w:r w:rsidRPr="002E25F2" w:rsidR="00DB3537">
              <w:rPr>
                <w:sz w:val="18"/>
                <w:szCs w:val="18"/>
              </w:rPr>
              <w:t>Бензин автомобильный АИ-92 экологического класса не ниже К5</w:t>
            </w:r>
          </w:p>
        </w:tc>
        <w:tc>
          <w:tcPr>
            <w:tcW w:w="1842" w:type="dxa"/>
            <w:tcBorders>
              <w:bottom w:val="single" w:color="auto" w:sz="4" w:space="0"/>
            </w:tcBorders>
            <w:vAlign w:val="center"/>
          </w:tcPr>
          <w:p w:rsidRPr="006815A3" w:rsidR="00B924CB" w:rsidP="001913A1" w:rsidRDefault="008C6522" w14:paraId="37D47D80" w14:textId="77777777">
            <w:pPr>
              <w:pStyle w:val="a8"/>
              <w:jc w:val="center"/>
              <w:rPr>
                <w:sz w:val="18"/>
                <w:szCs w:val="18"/>
              </w:rPr>
            </w:pPr>
            <w:r w:rsidRPr="006815A3" w:rsidR="00B924CB">
              <w:rPr>
                <w:sz w:val="18"/>
                <w:szCs w:val="18"/>
                <w:lang w:val="en-US"/>
              </w:rPr>
              <w:t>20/120</w:t>
            </w:r>
          </w:p>
        </w:tc>
        <w:tc>
          <w:tcPr>
            <w:tcW w:w="1984" w:type="dxa"/>
            <w:tcBorders>
              <w:bottom w:val="single" w:color="auto" w:sz="4" w:space="0"/>
            </w:tcBorders>
            <w:vAlign w:val="center"/>
          </w:tcPr>
          <w:p w:rsidRPr="006815A3" w:rsidR="00B924CB" w:rsidP="001913A1" w:rsidRDefault="008C6522" w14:paraId="6DDF6B7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vAlign w:val="center"/>
          </w:tcPr>
          <w:p w:rsidRPr="006815A3" w:rsidR="00B924CB" w:rsidP="001913A1" w:rsidRDefault="008C6522" w14:paraId="2F2BB25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shd w:val="clear" w:color="auto" w:fill="auto"/>
            <w:vAlign w:val="center"/>
          </w:tcPr>
          <w:p w:rsidRPr="006815A3" w:rsidR="00B924CB" w:rsidP="001913A1" w:rsidRDefault="008C6522" w14:paraId="3A6681B6"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276" w:type="dxa"/>
            <w:tcBorders>
              <w:bottom w:val="single" w:color="auto" w:sz="4" w:space="0"/>
            </w:tcBorders>
            <w:vAlign w:val="center"/>
          </w:tcPr>
          <w:p w:rsidRPr="006815A3" w:rsidR="00B924CB" w:rsidP="001913A1" w:rsidRDefault="008C6522" w14:paraId="098AFA7D" w14:textId="77777777">
            <w:pPr>
              <w:pStyle w:val="a8"/>
              <w:jc w:val="center"/>
              <w:rPr>
                <w:sz w:val="18"/>
                <w:szCs w:val="18"/>
              </w:rPr>
            </w:pPr>
            <w:r w:rsidRPr="006815A3" w:rsidR="00B924CB">
              <w:rPr>
                <w:sz w:val="18"/>
                <w:szCs w:val="18"/>
              </w:rPr>
              <w:t/>
            </w:r>
          </w:p>
        </w:tc>
        <w:tc>
          <w:tcPr>
            <w:tcW w:w="1984" w:type="dxa"/>
            <w:tcBorders>
              <w:bottom w:val="single" w:color="auto" w:sz="4" w:space="0"/>
            </w:tcBorders>
            <w:vAlign w:val="center"/>
          </w:tcPr>
          <w:p w:rsidRPr="006815A3" w:rsidR="00B924CB" w:rsidP="001913A1" w:rsidRDefault="008C6522" w14:paraId="33B838F2" w14:textId="77777777">
            <w:pPr>
              <w:pStyle w:val="a8"/>
              <w:jc w:val="center"/>
              <w:rPr>
                <w:sz w:val="18"/>
                <w:szCs w:val="18"/>
              </w:rPr>
            </w:pPr>
            <w:r w:rsidRPr="006815A3" w:rsidR="00B924CB">
              <w:rPr>
                <w:sz w:val="18"/>
                <w:szCs w:val="18"/>
              </w:rPr>
              <w:t/>
            </w:r>
          </w:p>
        </w:tc>
      </w:tr>
      <w:tr>
        <w:trPr>
          <w:cantSplit/>
        </w:trPr>
        <w:tc>
          <w:tcPr>
            <w:tcW w:w="1526" w:type="dxa"/>
            <w:tcBorders>
              <w:bottom w:val="single" w:color="auto" w:sz="4" w:space="0"/>
            </w:tcBorders>
            <w:shd w:val="clear" w:color="auto" w:fill="auto"/>
            <w:vAlign w:val="center"/>
          </w:tcPr>
          <w:p w:rsidRPr="006815A3" w:rsidR="00B924CB" w:rsidP="00A430DC" w:rsidRDefault="008C6522" w14:paraId="3EB1D99A" w14:textId="119438D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01.08.01.03.04.09</w:t>
            </w:r>
            <w:r w:rsidRPr="002E25F2" w:rsidR="008A5607">
              <w:rPr>
                <w:b/>
                <w:sz w:val="18"/>
                <w:szCs w:val="18"/>
                <w:lang w:val="en-US"/>
              </w:rPr>
              <w:t xml:space="preserve"> / </w:t>
            </w:r>
            <w:r w:rsidRPr="002E25F2" w:rsidR="008A5607">
              <w:rPr>
                <w:sz w:val="18"/>
                <w:szCs w:val="18"/>
                <w:lang w:val="en-US"/>
              </w:rPr>
              <w:t>19.20.21.135</w:t>
            </w:r>
          </w:p>
        </w:tc>
        <w:tc>
          <w:tcPr>
            <w:tcW w:w="3544" w:type="dxa"/>
            <w:tcBorders>
              <w:bottom w:val="single" w:color="auto" w:sz="4" w:space="0"/>
            </w:tcBorders>
            <w:shd w:val="clear" w:color="auto" w:fill="auto"/>
            <w:vAlign w:val="center"/>
          </w:tcPr>
          <w:p w:rsidRPr="006815A3" w:rsidR="00B924CB" w:rsidP="001913A1" w:rsidRDefault="008C6522" w14:paraId="47F5B2AD" w14:textId="7073D926">
            <w:pPr>
              <w:pStyle w:val="a8"/>
              <w:rPr>
                <w:sz w:val="18"/>
                <w:szCs w:val="18"/>
                <w:lang w:val="en-US"/>
              </w:rPr>
            </w:pPr>
            <w:r w:rsidRPr="002E25F2" w:rsidR="00DB3537">
              <w:rPr>
                <w:sz w:val="18"/>
                <w:szCs w:val="18"/>
              </w:rPr>
              <w:t>Бензин автомобильный АИ-95 экологического класса не ниже К5 (розничная реализация)</w:t>
            </w:r>
            <w:r w:rsidR="00DB3537">
              <w:rPr>
                <w:sz w:val="18"/>
                <w:szCs w:val="18"/>
              </w:rPr>
              <w:t xml:space="preserve"> </w:t>
            </w:r>
            <w:r w:rsidRPr="00652325" w:rsidR="00DB3537">
              <w:rPr>
                <w:sz w:val="18"/>
                <w:szCs w:val="18"/>
              </w:rPr>
              <w:t xml:space="preserve">/ </w:t>
            </w:r>
            <w:r w:rsidRPr="002E25F2" w:rsidR="00DB3537">
              <w:rPr>
                <w:sz w:val="18"/>
                <w:szCs w:val="18"/>
              </w:rPr>
              <w:t>Бензин автомобильный АИ-95 экологического класса не ниже К5 (розничная реализация)</w:t>
            </w:r>
          </w:p>
        </w:tc>
        <w:tc>
          <w:tcPr>
            <w:tcW w:w="1842" w:type="dxa"/>
            <w:tcBorders>
              <w:bottom w:val="single" w:color="auto" w:sz="4" w:space="0"/>
            </w:tcBorders>
            <w:vAlign w:val="center"/>
          </w:tcPr>
          <w:p w:rsidRPr="006815A3" w:rsidR="00B924CB" w:rsidP="001913A1" w:rsidRDefault="008C6522" w14:paraId="37D47D80" w14:textId="77777777">
            <w:pPr>
              <w:pStyle w:val="a8"/>
              <w:jc w:val="center"/>
              <w:rPr>
                <w:sz w:val="18"/>
                <w:szCs w:val="18"/>
              </w:rPr>
            </w:pPr>
            <w:r w:rsidRPr="006815A3" w:rsidR="00B924CB">
              <w:rPr>
                <w:sz w:val="18"/>
                <w:szCs w:val="18"/>
                <w:lang w:val="en-US"/>
              </w:rPr>
              <w:t>20/120</w:t>
            </w:r>
          </w:p>
        </w:tc>
        <w:tc>
          <w:tcPr>
            <w:tcW w:w="1984" w:type="dxa"/>
            <w:tcBorders>
              <w:bottom w:val="single" w:color="auto" w:sz="4" w:space="0"/>
            </w:tcBorders>
            <w:vAlign w:val="center"/>
          </w:tcPr>
          <w:p w:rsidRPr="006815A3" w:rsidR="00B924CB" w:rsidP="001913A1" w:rsidRDefault="008C6522" w14:paraId="6DDF6B7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vAlign w:val="center"/>
          </w:tcPr>
          <w:p w:rsidRPr="006815A3" w:rsidR="00B924CB" w:rsidP="001913A1" w:rsidRDefault="008C6522" w14:paraId="2F2BB25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shd w:val="clear" w:color="auto" w:fill="auto"/>
            <w:vAlign w:val="center"/>
          </w:tcPr>
          <w:p w:rsidRPr="006815A3" w:rsidR="00B924CB" w:rsidP="001913A1" w:rsidRDefault="008C6522" w14:paraId="3A6681B6"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276" w:type="dxa"/>
            <w:tcBorders>
              <w:bottom w:val="single" w:color="auto" w:sz="4" w:space="0"/>
            </w:tcBorders>
            <w:vAlign w:val="center"/>
          </w:tcPr>
          <w:p w:rsidRPr="006815A3" w:rsidR="00B924CB" w:rsidP="001913A1" w:rsidRDefault="008C6522" w14:paraId="098AFA7D" w14:textId="77777777">
            <w:pPr>
              <w:pStyle w:val="a8"/>
              <w:jc w:val="center"/>
              <w:rPr>
                <w:sz w:val="18"/>
                <w:szCs w:val="18"/>
              </w:rPr>
            </w:pPr>
            <w:r w:rsidRPr="006815A3" w:rsidR="00B924CB">
              <w:rPr>
                <w:sz w:val="18"/>
                <w:szCs w:val="18"/>
              </w:rPr>
              <w:t/>
            </w:r>
          </w:p>
        </w:tc>
        <w:tc>
          <w:tcPr>
            <w:tcW w:w="1984" w:type="dxa"/>
            <w:tcBorders>
              <w:bottom w:val="single" w:color="auto" w:sz="4" w:space="0"/>
            </w:tcBorders>
            <w:vAlign w:val="center"/>
          </w:tcPr>
          <w:p w:rsidRPr="006815A3" w:rsidR="00B924CB" w:rsidP="001913A1" w:rsidRDefault="008C6522" w14:paraId="33B838F2" w14:textId="77777777">
            <w:pPr>
              <w:pStyle w:val="a8"/>
              <w:jc w:val="center"/>
              <w:rPr>
                <w:sz w:val="18"/>
                <w:szCs w:val="18"/>
              </w:rPr>
            </w:pPr>
            <w:r w:rsidRPr="006815A3" w:rsidR="00B924CB">
              <w:rPr>
                <w:sz w:val="18"/>
                <w:szCs w:val="18"/>
              </w:rPr>
              <w:t/>
            </w:r>
          </w:p>
        </w:tc>
      </w:tr>
      <w:tr>
        <w:trPr>
          <w:cantSplit/>
        </w:trPr>
        <w:tc>
          <w:tcPr>
            <w:tcW w:w="1526" w:type="dxa"/>
            <w:tcBorders>
              <w:bottom w:val="single" w:color="auto" w:sz="4" w:space="0"/>
            </w:tcBorders>
            <w:shd w:val="clear" w:color="auto" w:fill="auto"/>
            <w:vAlign w:val="center"/>
          </w:tcPr>
          <w:p w:rsidRPr="006815A3" w:rsidR="00B924CB" w:rsidP="00A430DC" w:rsidRDefault="008C6522" w14:paraId="3EB1D99A" w14:textId="119438D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01.08.01.10.04.07</w:t>
            </w:r>
            <w:r w:rsidRPr="002E25F2" w:rsidR="008A5607">
              <w:rPr>
                <w:b/>
                <w:sz w:val="18"/>
                <w:szCs w:val="18"/>
                <w:lang w:val="en-US"/>
              </w:rPr>
              <w:t xml:space="preserve"> / </w:t>
            </w:r>
            <w:r w:rsidRPr="002E25F2" w:rsidR="008A5607">
              <w:rPr>
                <w:sz w:val="18"/>
                <w:szCs w:val="18"/>
                <w:lang w:val="en-US"/>
              </w:rPr>
              <w:t>19.20.21.345</w:t>
            </w:r>
          </w:p>
        </w:tc>
        <w:tc>
          <w:tcPr>
            <w:tcW w:w="3544" w:type="dxa"/>
            <w:tcBorders>
              <w:bottom w:val="single" w:color="auto" w:sz="4" w:space="0"/>
            </w:tcBorders>
            <w:shd w:val="clear" w:color="auto" w:fill="auto"/>
            <w:vAlign w:val="center"/>
          </w:tcPr>
          <w:p w:rsidRPr="006815A3" w:rsidR="00B924CB" w:rsidP="001913A1" w:rsidRDefault="008C6522" w14:paraId="47F5B2AD" w14:textId="7073D926">
            <w:pPr>
              <w:pStyle w:val="a8"/>
              <w:rPr>
                <w:sz w:val="18"/>
                <w:szCs w:val="18"/>
                <w:lang w:val="en-US"/>
              </w:rPr>
            </w:pPr>
            <w:r w:rsidRPr="002E25F2" w:rsidR="00DB3537">
              <w:rPr>
                <w:sz w:val="18"/>
                <w:szCs w:val="18"/>
              </w:rPr>
              <w:t>Топливо дизельное межсезонное экологического класса не ниже К5 (розничная поставка)</w:t>
            </w:r>
            <w:r w:rsidR="00DB3537">
              <w:rPr>
                <w:sz w:val="18"/>
                <w:szCs w:val="18"/>
              </w:rPr>
              <w:t xml:space="preserve"> </w:t>
            </w:r>
            <w:r w:rsidRPr="00652325" w:rsidR="00DB3537">
              <w:rPr>
                <w:sz w:val="18"/>
                <w:szCs w:val="18"/>
              </w:rPr>
              <w:t xml:space="preserve">/ </w:t>
            </w:r>
            <w:r w:rsidRPr="002E25F2" w:rsidR="00DB3537">
              <w:rPr>
                <w:sz w:val="18"/>
                <w:szCs w:val="18"/>
              </w:rPr>
              <w:t>Топливо дизельное межсезонное экологического класса не ниже К5 (розничная поставка)</w:t>
            </w:r>
          </w:p>
        </w:tc>
        <w:tc>
          <w:tcPr>
            <w:tcW w:w="1842" w:type="dxa"/>
            <w:tcBorders>
              <w:bottom w:val="single" w:color="auto" w:sz="4" w:space="0"/>
            </w:tcBorders>
            <w:vAlign w:val="center"/>
          </w:tcPr>
          <w:p w:rsidRPr="006815A3" w:rsidR="00B924CB" w:rsidP="001913A1" w:rsidRDefault="008C6522" w14:paraId="37D47D80" w14:textId="77777777">
            <w:pPr>
              <w:pStyle w:val="a8"/>
              <w:jc w:val="center"/>
              <w:rPr>
                <w:sz w:val="18"/>
                <w:szCs w:val="18"/>
              </w:rPr>
            </w:pPr>
            <w:r w:rsidRPr="006815A3" w:rsidR="00B924CB">
              <w:rPr>
                <w:sz w:val="18"/>
                <w:szCs w:val="18"/>
                <w:lang w:val="en-US"/>
              </w:rPr>
              <w:t>20/120</w:t>
            </w:r>
          </w:p>
        </w:tc>
        <w:tc>
          <w:tcPr>
            <w:tcW w:w="1984" w:type="dxa"/>
            <w:tcBorders>
              <w:bottom w:val="single" w:color="auto" w:sz="4" w:space="0"/>
            </w:tcBorders>
            <w:vAlign w:val="center"/>
          </w:tcPr>
          <w:p w:rsidRPr="006815A3" w:rsidR="00B924CB" w:rsidP="001913A1" w:rsidRDefault="008C6522" w14:paraId="6DDF6B7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vAlign w:val="center"/>
          </w:tcPr>
          <w:p w:rsidRPr="006815A3" w:rsidR="00B924CB" w:rsidP="001913A1" w:rsidRDefault="008C6522" w14:paraId="2F2BB25E"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418" w:type="dxa"/>
            <w:tcBorders>
              <w:bottom w:val="single" w:color="auto" w:sz="4" w:space="0"/>
            </w:tcBorders>
            <w:shd w:val="clear" w:color="auto" w:fill="auto"/>
            <w:vAlign w:val="center"/>
          </w:tcPr>
          <w:p w:rsidRPr="006815A3" w:rsidR="00B924CB" w:rsidP="001913A1" w:rsidRDefault="008C6522" w14:paraId="3A6681B6" w14:textId="77777777">
            <w:pPr>
              <w:pStyle w:val="a8"/>
              <w:jc w:val="right"/>
              <w:rPr>
                <w:sz w:val="18"/>
                <w:szCs w:val="18"/>
                <w:lang w:val="en-US"/>
              </w:rPr>
            </w:pPr>
            <w:r w:rsidRPr="006815A3" w:rsidR="00B924CB">
              <w:rPr>
                <w:sz w:val="18"/>
                <w:szCs w:val="18"/>
                <w:lang w:val="en-US"/>
              </w:rPr>
              <w:t>(</w:t>
            </w:r>
            <w:r w:rsidRPr="006815A3" w:rsidR="00B924CB">
              <w:rPr>
                <w:sz w:val="18"/>
                <w:szCs w:val="18"/>
              </w:rPr>
              <w:t>не указано</w:t>
            </w:r>
            <w:r w:rsidRPr="006815A3" w:rsidR="00B924CB">
              <w:rPr>
                <w:sz w:val="18"/>
                <w:szCs w:val="18"/>
                <w:lang w:val="en-US"/>
              </w:rPr>
              <w:t>)*</w:t>
            </w:r>
          </w:p>
        </w:tc>
        <w:tc>
          <w:tcPr>
            <w:tcW w:w="1276" w:type="dxa"/>
            <w:tcBorders>
              <w:bottom w:val="single" w:color="auto" w:sz="4" w:space="0"/>
            </w:tcBorders>
            <w:vAlign w:val="center"/>
          </w:tcPr>
          <w:p w:rsidRPr="006815A3" w:rsidR="00B924CB" w:rsidP="001913A1" w:rsidRDefault="008C6522" w14:paraId="098AFA7D" w14:textId="77777777">
            <w:pPr>
              <w:pStyle w:val="a8"/>
              <w:jc w:val="center"/>
              <w:rPr>
                <w:sz w:val="18"/>
                <w:szCs w:val="18"/>
              </w:rPr>
            </w:pPr>
            <w:r w:rsidRPr="006815A3" w:rsidR="00B924CB">
              <w:rPr>
                <w:sz w:val="18"/>
                <w:szCs w:val="18"/>
              </w:rPr>
              <w:t/>
            </w:r>
          </w:p>
        </w:tc>
        <w:tc>
          <w:tcPr>
            <w:tcW w:w="1984" w:type="dxa"/>
            <w:tcBorders>
              <w:bottom w:val="single" w:color="auto" w:sz="4" w:space="0"/>
            </w:tcBorders>
            <w:vAlign w:val="center"/>
          </w:tcPr>
          <w:p w:rsidRPr="006815A3" w:rsidR="00B924CB" w:rsidP="001913A1" w:rsidRDefault="008C6522" w14:paraId="33B838F2" w14:textId="77777777">
            <w:pPr>
              <w:pStyle w:val="a8"/>
              <w:jc w:val="center"/>
              <w:rPr>
                <w:sz w:val="18"/>
                <w:szCs w:val="18"/>
              </w:rPr>
            </w:pPr>
            <w:r w:rsidRPr="006815A3" w:rsidR="00B924CB">
              <w:rPr>
                <w:sz w:val="18"/>
                <w:szCs w:val="18"/>
              </w:rPr>
              <w:t/>
            </w:r>
          </w:p>
        </w:tc>
      </w:tr>
    </w:tbl>
    <w:p w:rsidRPr="002E25F2" w:rsidR="006F7921" w:rsidP="00EF6419" w:rsidRDefault="008C6522" w14:paraId="0777ECD4"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tbl>
      <w:tblPr>
        <w:tblpPr w:leftFromText="180" w:rightFromText="180" w:vertAnchor="text" w:horzAnchor="page" w:tblpX="1176" w:tblpY="22"/>
        <w:tblW w:w="14850" w:type="dxa"/>
        <w:tblBorders>
          <w:insideH w:val="single" w:color="auto" w:sz="4" w:space="0"/>
        </w:tblBorders>
        <w:tblLayout w:type="fixed"/>
        <w:tblLook w:firstRow="1" w:lastRow="0" w:firstColumn="1" w:lastColumn="0" w:noHBand="0" w:noVBand="1" w:val="04A0"/>
      </w:tblPr>
      <w:tblGrid>
        <w:gridCol w:w="6804"/>
        <w:gridCol w:w="1985"/>
        <w:gridCol w:w="1559"/>
        <w:gridCol w:w="1384"/>
        <w:gridCol w:w="3118"/>
      </w:tblGrid>
      <w:tr>
        <w:trPr>
          <w:cantSplit/>
        </w:trPr>
        <w:tc>
          <w:tcPr>
            <w:tcW w:w="6804" w:type="dxa"/>
            <w:shd w:val="clear" w:color="auto" w:fill="auto"/>
          </w:tcPr>
          <w:p w:rsidRPr="006815A3" w:rsidR="006F7921" w:rsidP="00174CB9" w:rsidRDefault="006F7921" w14:paraId="72CCCB3A" w14:textId="77777777">
            <w:pPr>
              <w:pStyle w:val="a8"/>
              <w:jc w:val="right"/>
              <w:rPr>
                <w:b/>
                <w:sz w:val="18"/>
                <w:szCs w:val="18"/>
                <w:lang w:val="en-US"/>
              </w:rPr>
            </w:pPr>
            <w:r w:rsidRPr="006815A3">
              <w:rPr>
                <w:b/>
                <w:sz w:val="18"/>
                <w:szCs w:val="18"/>
              </w:rPr>
              <w:t>Итого</w:t>
            </w:r>
            <w:r w:rsidRPr="006815A3">
              <w:rPr>
                <w:b/>
                <w:sz w:val="18"/>
                <w:szCs w:val="18"/>
                <w:lang w:val="en-US"/>
              </w:rPr>
              <w:t>:</w:t>
            </w:r>
          </w:p>
        </w:tc>
        <w:tc>
          <w:tcPr>
            <w:tcW w:w="1985" w:type="dxa"/>
          </w:tcPr>
          <w:p w:rsidRPr="008378F1" w:rsidR="006F7921" w:rsidP="00174CB9" w:rsidRDefault="008378F1" w14:paraId="359D524D" w14:textId="5447C3C6">
            <w:pPr>
              <w:pStyle w:val="a8"/>
              <w:jc w:val="right"/>
              <w:rPr>
                <w:sz w:val="18"/>
                <w:szCs w:val="18"/>
              </w:rPr>
            </w:pPr>
            <w:r>
              <w:rPr>
                <w:b/>
                <w:sz w:val="18"/>
                <w:szCs w:val="18"/>
              </w:rPr>
              <w:t>Без НДС</w:t>
            </w:r>
            <w:r>
              <w:rPr>
                <w:sz w:val="18"/>
                <w:szCs w:val="18"/>
              </w:rPr>
              <w:br/>
            </w:r>
            <w:r w:rsidRPr="008378F1" w:rsidR="006F7921">
              <w:rPr>
                <w:b/>
                <w:sz w:val="18"/>
                <w:szCs w:val="18"/>
              </w:rPr>
              <w:t>(</w:t>
            </w:r>
            <w:r w:rsidRPr="006815A3" w:rsidR="006F7921">
              <w:rPr>
                <w:b/>
                <w:sz w:val="18"/>
                <w:szCs w:val="18"/>
              </w:rPr>
              <w:t>не указано</w:t>
            </w:r>
            <w:r w:rsidRPr="008378F1" w:rsidR="006F7921">
              <w:rPr>
                <w:b/>
                <w:sz w:val="18"/>
                <w:szCs w:val="18"/>
              </w:rPr>
              <w:t>)*</w:t>
            </w:r>
          </w:p>
        </w:tc>
        <w:tc>
          <w:tcPr>
            <w:tcW w:w="1559" w:type="dxa"/>
          </w:tcPr>
          <w:p w:rsidRPr="008378F1" w:rsidR="006F7921" w:rsidP="00174CB9" w:rsidRDefault="008378F1" w14:paraId="6F6B32E7" w14:textId="344C2C43">
            <w:pPr>
              <w:pStyle w:val="a8"/>
              <w:jc w:val="right"/>
              <w:rPr>
                <w:sz w:val="18"/>
                <w:szCs w:val="18"/>
              </w:rPr>
            </w:pPr>
            <w:r w:rsidRPr="008378F1">
              <w:rPr>
                <w:b/>
                <w:sz w:val="18"/>
                <w:szCs w:val="18"/>
              </w:rPr>
              <w:t>Размер НДС</w:t>
            </w:r>
            <w:r>
              <w:rPr>
                <w:sz w:val="18"/>
                <w:szCs w:val="18"/>
              </w:rPr>
              <w:br/>
            </w:r>
            <w:r w:rsidRPr="008378F1" w:rsidR="006F7921">
              <w:rPr>
                <w:b/>
                <w:sz w:val="18"/>
                <w:szCs w:val="18"/>
              </w:rPr>
              <w:t>(</w:t>
            </w:r>
            <w:r w:rsidRPr="006815A3" w:rsidR="006F7921">
              <w:rPr>
                <w:b/>
                <w:sz w:val="18"/>
                <w:szCs w:val="18"/>
              </w:rPr>
              <w:t>не указано</w:t>
            </w:r>
            <w:r w:rsidRPr="008378F1" w:rsidR="006F7921">
              <w:rPr>
                <w:b/>
                <w:sz w:val="18"/>
                <w:szCs w:val="18"/>
              </w:rPr>
              <w:t>)*</w:t>
            </w:r>
          </w:p>
        </w:tc>
        <w:tc>
          <w:tcPr>
            <w:tcW w:w="1384" w:type="dxa"/>
            <w:shd w:val="clear" w:color="auto" w:fill="auto"/>
          </w:tcPr>
          <w:p w:rsidRPr="006815A3" w:rsidR="006F7921" w:rsidP="00174CB9" w:rsidRDefault="008378F1" w14:paraId="7E8CCD70" w14:textId="15430A89">
            <w:pPr>
              <w:pStyle w:val="a8"/>
              <w:jc w:val="right"/>
              <w:rPr>
                <w:sz w:val="18"/>
                <w:szCs w:val="18"/>
              </w:rPr>
            </w:pPr>
            <w:r w:rsidRPr="008378F1">
              <w:rPr>
                <w:b/>
                <w:sz w:val="18"/>
                <w:szCs w:val="18"/>
              </w:rPr>
              <w:t>Итого</w:t>
            </w:r>
            <w:r>
              <w:rPr>
                <w:sz w:val="18"/>
                <w:szCs w:val="18"/>
              </w:rPr>
              <w:br/>
            </w:r>
            <w:r w:rsidRPr="006815A3" w:rsidR="006F7921">
              <w:rPr>
                <w:b/>
                <w:sz w:val="18"/>
                <w:szCs w:val="18"/>
                <w:lang w:val="en-US"/>
              </w:rPr>
              <w:t>(</w:t>
            </w:r>
            <w:r w:rsidRPr="006815A3" w:rsidR="006F7921">
              <w:rPr>
                <w:b/>
                <w:sz w:val="18"/>
                <w:szCs w:val="18"/>
              </w:rPr>
              <w:t>не указано</w:t>
            </w:r>
            <w:r w:rsidRPr="006815A3" w:rsidR="006F7921">
              <w:rPr>
                <w:b/>
                <w:sz w:val="18"/>
                <w:szCs w:val="18"/>
                <w:lang w:val="en-US"/>
              </w:rPr>
              <w:t>)*</w:t>
            </w:r>
          </w:p>
        </w:tc>
        <w:tc>
          <w:tcPr>
            <w:tcW w:w="3118" w:type="dxa"/>
          </w:tcPr>
          <w:p w:rsidRPr="006815A3" w:rsidR="006F7921" w:rsidP="00174CB9" w:rsidRDefault="006F7921" w14:paraId="7AB235E6" w14:textId="77777777">
            <w:pPr>
              <w:pStyle w:val="a8"/>
              <w:jc w:val="right"/>
              <w:rPr>
                <w:sz w:val="18"/>
                <w:szCs w:val="18"/>
              </w:rPr>
            </w:pPr>
          </w:p>
        </w:tc>
      </w:tr>
    </w:tbl>
    <w:p w:rsidRPr="002E25F2" w:rsidR="001D424F" w:rsidP="001D424F" w:rsidRDefault="008C6522" w14:paraId="0952864B" w14:textId="1BC6E21C">
      <w:pPr>
        <w:pStyle w:val="a8"/>
        <w:rPr>
          <w:rFonts w:eastAsiaTheme="minorHAnsi"/>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МУП "ЖХ"</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В. Е. Гурьянов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Заправка автотранспорта по топливным картам бензином и дизельным топливом на 2023 год для нужд МУП «Жилищное хозяйство»</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Бензин автомобильный АИ-92 экологического класса не ниже К5</w:t>
            </w:r>
            <w:r w:rsidRPr="00B21163" w:rsidR="00E870E6">
              <w:rPr>
                <w:sz w:val="18"/>
                <w:szCs w:val="18"/>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p>
          <w:p w:rsidRPr="00B21163" w:rsidR="00E32011" w:rsidP="001847E9" w:rsidRDefault="008C6522" w14:paraId="1575AC1F" w14:textId="7D57870B">
            <w:pPr>
              <w:ind w:firstLine="0"/>
              <w:rPr>
                <w:sz w:val="18"/>
                <w:szCs w:val="18"/>
              </w:rPr>
            </w:pPr>
            <w:r w:rsidRPr="00B21163" w:rsidR="00E870E6">
              <w:rPr>
                <w:sz w:val="18"/>
                <w:szCs w:val="18"/>
              </w:rPr>
              <w:t>Бензин автомобильный АИ-95 экологического класса не ниже К5 (розничная реализация)</w:t>
            </w:r>
            <w:r w:rsidRPr="00B21163" w:rsidR="00E870E6">
              <w:rPr>
                <w:sz w:val="18"/>
                <w:szCs w:val="18"/>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p>
          <w:p w:rsidRPr="00B21163" w:rsidR="00E32011" w:rsidP="001847E9" w:rsidRDefault="008C6522" w14:paraId="1575AC1F" w14:textId="7D57870B">
            <w:pPr>
              <w:ind w:firstLine="0"/>
              <w:rPr>
                <w:sz w:val="18"/>
                <w:szCs w:val="18"/>
              </w:rPr>
            </w:pPr>
            <w:r w:rsidRPr="00B21163" w:rsidR="00E870E6">
              <w:rPr>
                <w:sz w:val="18"/>
                <w:szCs w:val="18"/>
              </w:rPr>
              <w:t>Топливо дизельное межсезонное экологического класса не ниже К5 (розничная поставка)</w:t>
            </w:r>
            <w:r w:rsidRPr="00B21163" w:rsidR="00E870E6">
              <w:rPr>
                <w:sz w:val="18"/>
                <w:szCs w:val="18"/>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№01</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«Универсальный передаточный документ (СЧФДОП), формат УПД, утвержденный приказом ФНС России» (Заправка автотранспорта по топливным картам бензином и дизельным топливом на 2023 год для нужд МУП «Жилищное хозяйство»)</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МУП "ЖХ"</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В. Е. Гурьянов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Заправка автотранспорта по топливным картам бензином и дизельным топливом на 2023 год для нужд МУП «Жилищное хозяйство»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Детализация по картам</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Заправка автотранспорта по топливным картам бензином и дизельным топливом на 2023 год для нужд МУП «Жилищное хозяйство»</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Заправка автотранспорта по топливным картам бензином и дизельным топливом на 2023 год для нужд МУП «Жилищное хозяйство»</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Генеральный директор</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МУП "ЖХ"</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В. Е. Гурьянов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Генеральный директор</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МУП "ЖХ"</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В. Е. Гурьянов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093813-22</w:t>
    </w:r>
  </w:p>
  <w:p w:rsidR="008C6522" w:rsidRDefault="008C6522"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