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01.01.05.02.01</w:t>
            </w:r>
            <w:r w:rsidR="00B924CB">
              <w:rPr>
                <w:b/>
              </w:rPr>
              <w:t xml:space="preserve"> / </w:t>
            </w:r>
            <w:r w:rsidR="00B924CB">
              <w:t>28.99.40.110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Картридж и чернильница чёрная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закупка тонер-картриджей для нужд МФЦ Шатура</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Картридж и чернильница чёрная</w:t>
            </w:r>
            <w:r w:rsidR="00473384">
              <w:rPr>
                <w:lang w:val="en-US"/>
              </w:rPr>
              <w:t xml:space="preserve">; </w:t>
            </w:r>
            <w:r w:rsidR="00473384">
              <w:rPr>
                <w:lang w:val="en-US"/>
              </w:rPr>
              <w:t>27,00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10 дн. от даты заключения договора</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(закупка тонер-картриджей для нужд МФЦ Шатура)</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закупка тонер-картриджей для нужд МФЦ Шатура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закупка тонер-картриджей для нужд МФЦ Шатура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закупка тонер-картриджей для нужд МФЦ Шатура</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закупка тонер-картриджей для нужд МФЦ Шатура</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032483-21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