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до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4 255,00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22 200,00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Комбинированного Вида №52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рационального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до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4 255,00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22 200,00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организации рационального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Комбинированного Вида №52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рационального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рационального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организации рационального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Комбинированного Вида №52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Комбинированного Вида №52</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000061-20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