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0743A6">
        <w:rPr>
          <w:rFonts w:ascii="Times New Roman" w:eastAsia="Times New Roman" w:hAnsi="Times New Roman" w:cs="Times New Roman"/>
          <w:color w:val="00000A"/>
          <w:spacing w:val="-2"/>
          <w:sz w:val="24"/>
          <w:szCs w:val="24"/>
        </w:rPr>
        <w:t xml:space="preserve"> и Московской области, на основании результатов проведенного конкурса в электронной форме (Протокол №_________ </w:t>
      </w:r>
      <w:proofErr w:type="gramStart"/>
      <w:r w:rsidRPr="000743A6">
        <w:rPr>
          <w:rFonts w:ascii="Times New Roman" w:eastAsia="Times New Roman" w:hAnsi="Times New Roman" w:cs="Times New Roman"/>
          <w:color w:val="00000A"/>
          <w:spacing w:val="-2"/>
          <w:sz w:val="24"/>
          <w:szCs w:val="24"/>
        </w:rPr>
        <w:t>от</w:t>
      </w:r>
      <w:proofErr w:type="gramEnd"/>
      <w:r w:rsidRPr="000743A6">
        <w:rPr>
          <w:rFonts w:ascii="Times New Roman" w:eastAsia="Times New Roman" w:hAnsi="Times New Roman" w:cs="Times New Roman"/>
          <w:color w:val="00000A"/>
          <w:spacing w:val="-2"/>
          <w:sz w:val="24"/>
          <w:szCs w:val="24"/>
        </w:rPr>
        <w:t xml:space="preserve">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w:t>
      </w:r>
      <w:bookmarkStart w:id="0" w:name="_GoBack"/>
      <w:bookmarkEnd w:id="0"/>
      <w:r w:rsidRPr="000743A6">
        <w:t xml:space="preserve">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данных».</w:t>
      </w:r>
    </w:p>
    <w:p w:rsidR="00072A98" w:rsidRPr="000743A6" w:rsidRDefault="00072A98" w:rsidP="00072A98">
      <w:pPr>
        <w:pStyle w:val="affff7"/>
        <w:spacing w:line="120" w:lineRule="atLeast"/>
        <w:ind w:firstLine="567"/>
        <w:contextualSpacing/>
      </w:pPr>
      <w:r w:rsidRPr="000743A6">
        <w:t xml:space="preserve">5.4.6. </w:t>
      </w:r>
      <w:proofErr w:type="gramStart"/>
      <w:r w:rsidRPr="000743A6">
        <w:t>Оплатить неустойку (штрафы</w:t>
      </w:r>
      <w:proofErr w:type="gramEnd"/>
      <w:r w:rsidRPr="000743A6">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1"/>
          <w:footerReference w:type="default" r:id="rId12"/>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3" w:history="1">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hyperlink>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w:t>
            </w:r>
            <w:r>
              <w:rPr>
                <w:b/>
                <w:lang w:val="ru-RU"/>
              </w:rPr>
              <w:t>,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3A6" w:rsidRDefault="000743A6">
    <w:pPr>
      <w:pStyle w:val="affff2"/>
      <w:ind w:right="360"/>
    </w:pPr>
  </w:p>
  <w:p w:rsidR="000743A6" w:rsidRDefault="000743A6">
    <w:pPr>
      <w:pStyle w:val="WW-"/>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3A6" w:rsidRDefault="000743A6">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343A7-544C-4349-9EEE-BF5C8A59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8152</Words>
  <Characters>46467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5</cp:revision>
  <cp:lastPrinted>2020-09-17T13:13:00Z</cp:lastPrinted>
  <dcterms:created xsi:type="dcterms:W3CDTF">2021-07-21T06:35:00Z</dcterms:created>
  <dcterms:modified xsi:type="dcterms:W3CDTF">2021-07-22T10:23:00Z</dcterms:modified>
</cp:coreProperties>
</file>