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807CBE" w14:paraId="3175A6F0" w14:textId="136E5D0A">
            <w:pPr>
              <w:pStyle w:val="aff2"/>
            </w:pPr>
            <w:r w:rsidR="005E1E29">
              <w:rPr>
                <w:rStyle w:val="1a"/>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9"/>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9"/>
            </w:pPr>
            <w:r>
              <w:t>Общая стоимость, руб.</w:t>
            </w:r>
          </w:p>
        </w:tc>
      </w:tr>
      <w:tr>
        <w:tc>
          <w:tcPr>
            <w:tcW w:w="2235" w:type="dxa"/>
            <w:tcBorders>
              <w:bottom w:val="single" w:color="auto" w:sz="4" w:space="0"/>
            </w:tcBorders>
            <w:shd w:val="clear" w:color="auto" w:fill="auto"/>
          </w:tcPr>
          <w:p w:rsidR="005E1E29" w:rsidP="009643D6" w:rsidRDefault="00807CBE" w14:paraId="429679AB" w14:textId="77777777">
            <w:pPr>
              <w:pStyle w:val="aff2"/>
            </w:pPr>
            <w:r w:rsidR="005E1E29">
              <w:t>02.04.03.09</w:t>
            </w:r>
            <w:r w:rsidR="005E1E29">
              <w:rPr>
                <w:b/>
              </w:rPr>
              <w:t xml:space="preserve"> / </w:t>
            </w:r>
            <w:r w:rsidR="005E1E29">
              <w:t>38.11.21.000</w:t>
            </w:r>
          </w:p>
          <w:p w:rsidR="005E1E29" w:rsidP="009643D6" w:rsidRDefault="00807CBE"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807CBE" w14:paraId="543149D3" w14:textId="77777777">
            <w:pPr>
              <w:pStyle w:val="aff2"/>
            </w:pPr>
            <w:r w:rsidR="005E1E29">
              <w:t>Услуги по вывозу крупногабаритного мусора</w:t>
            </w:r>
          </w:p>
        </w:tc>
        <w:tc>
          <w:tcPr>
            <w:tcW w:w="3828" w:type="dxa"/>
            <w:tcBorders>
              <w:bottom w:val="single" w:color="auto" w:sz="4" w:space="0"/>
            </w:tcBorders>
            <w:shd w:val="clear" w:color="auto" w:fill="auto"/>
          </w:tcPr>
          <w:p w:rsidR="005E1E29" w:rsidP="009643D6" w:rsidRDefault="00807CBE" w14:paraId="01E9FC12" w14:textId="77777777">
            <w:pPr>
              <w:pStyle w:val="aff2"/>
              <w:jc w:val="right"/>
            </w:pPr>
            <w:r w:rsidR="005E1E29">
              <w:rPr>
                <w:lang w:val="en-US"/>
              </w:rPr>
              <w:t>(</w:t>
            </w:r>
            <w:r w:rsidR="005E1E29">
              <w:t>не указано</w:t>
            </w:r>
            <w:r w:rsidR="005E1E29">
              <w:rPr>
                <w:lang w:val="en-US"/>
              </w:rPr>
              <w:t>)*</w:t>
            </w:r>
          </w:p>
        </w:tc>
      </w:tr>
    </w:tbl>
    <w:p w:rsidRPr="00304EDC" w:rsidR="00CD27C7" w:rsidP="005E1E29" w:rsidRDefault="00807CBE" w14:paraId="228800A4" w14:textId="0B44C399">
      <w:pPr>
        <w:pStyle w:val="aff2"/>
        <w:rPr>
          <w:sz w:val="2"/>
          <w:szCs w:val="2"/>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807CBE"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807CBE"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вывозу и размещению отходов IV-V класса опасности</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каждый мес. (от окончания)</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Услуги по вывозу крупногабаритного мусора</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вывозу и размещению отходов IV-V класса опасности)</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В соответствии с условиями договора</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вывозу и размещению отходов IV-V класса опасности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вывозу и размещению отходов IV-V класса опасности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вывозу и размещению отходов IV-V класса опасности</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101423-21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