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Щукина Мария Олеговна</w:t>
        <w:br/>
        <w:t>заведующий</w:t>
        <w:br/>
        <w:t>МАДОУ Городищенский д/с комбинированного вида «Фиалка»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Городищенский детский сад комбинированного вида «Фиалка»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142811, Московская область, Ступинский район, д. Городище, ул. Молодёжная,  вл.4</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142811, Московская область, Ступинский район, д. Городище, ул. Молодёжная,  вл.4</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ds.fialka@mail.ru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7-916-3020526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Каменская Галина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279 055 (двести семьдесят девять тысяч пятьдесят пять)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279 055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2021</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13 952 (тринадцать тысяч девятьсот пятьдесят два) рубля 75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Городищенский детский сад комбинированного вида «Фиалка»</w:t>
              <w:br/>
              <w:t>ИНН: 5045025646</w:t>
              <w:br/>
              <w:t>КПП: 504501001</w:t>
              <w:br/>
              <w:t>ОКПО: 53961053</w:t>
              <w:br/>
              <w:t>ОГРН: 1025005923788</w:t>
              <w:br/>
              <w:t>ОКТМО: </w:t>
              <w:br/>
              <w:t/>
              <w:br/>
              <w:t>Телефон: 7-916-3020526</w:t>
              <w:br/>
              <w:t>Почта: ds.fialka@mail.ru</w:t>
              <w:br/>
              <w:t/>
              <w:br/>
              <w:t>Банк получателя: </w:t>
              <w:br/>
              <w:t>л/с: 83463D26630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