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Винокурова Наталья Владимировна</w:t>
        <w:br/>
        <w:t>заведующий</w:t>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«05» февраля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Предоставление услуг по медицинскому осмотру работников.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Винокурова Наталья Владимировна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Предоставление услуг по медицинскому осмотру работников.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142830 РФ, Московская область, городской округ Ступино, с. Шугарово, улица Совхозная, владение 3.;</w:t>
              <w:br/>
              <w:t>График оказания услуг: в соответствии с ТЗ;</w:t>
              <w:br/>
              <w:t>Условия оказания услуг: в соответствии с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95 850 (девяносто пять тысяч восемьсот пятьдесят)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95 850 рублей 00 копеек</w:t>
              <w:br/>
              <w:t/>
              <w:br/>
              <w:t>ОКПД2: 86.21.10.190 Услуги, предоставляемые врачами общей врачебной практики, прочие, не включенные в другие группировки;</w:t>
              <w:br/>
              <w:t/>
              <w:br/>
              <w:t>ОКВЭД2: 86.21 Общая врачебная практика;</w:t>
              <w:br/>
              <w:t/>
              <w:br/>
              <w:t>Код КОЗ: 02.11.01.12.01 Услуги по проведению предварительных и периодических медицинских осмотров (обследований) (Условная единица);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проектом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февраля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февраля 2021 в 17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февраля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февраля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