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для иммуноферментных исследований</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60 625,36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57 429,84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52 459,20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46 600,56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115 436,40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10 318,80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92 868,66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97 994,04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88 807,56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210 367,92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41 407,98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42 939,00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37 746,42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37 746,60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302 904,00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27 572,00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18 695,85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64 708,44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90 138,84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90 138,84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90 138,84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90 138,84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77 223,60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73 229,64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73 096,44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77 223,60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66 039,60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61 379,64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27,00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272 613,60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49 796,40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27,00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272 613,60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для иммуноферментных исследований</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иммуноферментных исследований)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для иммуноферментных исследований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для иммуноферментных исследований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для иммуноферментных исследований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для иммуноферментных исследований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для иммуноферментных исследований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109487-22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