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01.21.01.05.04.10176</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Специфический антиген гепатоцитов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иммуноферментных исследований</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22,00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24,00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32,00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18,00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9,00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Специфический антиген гепатоцитов ИВД, реагент</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для иммуноферментных исследований</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иммуноферментных исследований)</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 Дубна, ул. Карла Маркса, д. 30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для иммуноферментных исследований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иммуноферментных исследований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иммуноферментных исследований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иммуноферментных исследований</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иммуноферментных исследований</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120422-21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