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бензина и ДТ</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«Тепло Шатуры»</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генерального директора</w:t>
      </w:r>
      <w:proofErr w:type="spellStart"/>
      <w:r w:rsidR="005F69E3" w:rsidRPr="0073212F">
        <w:rPr>
          <w:lang w:val="en-US"/>
        </w:rPr>
        <w:t/>
      </w:r>
      <w:proofErr w:type="spellEnd"/>
      <w:r w:rsidR="005F69E3" w:rsidRPr="0073212F">
        <w:rPr>
          <w:lang w:val="en-US"/>
        </w:rPr>
        <w:t xml:space="preserve"> Карасева Михаила Валерьевича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итогового протокола аукциона в электронной форме №_____________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«Поставка бензина и ДТ»</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Максимальное значение цены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Цены единиц товара перечислены в приложении 1 к Договору «Сведения об объектах закупки».</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собственные средства предприятия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Цены единиц товара включают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все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цены единиц товара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 Оплата поставленного товара осуществляется по цене единицы товара исходя из количества фактически поставленного товара, но в размере, не превышающем Цены Договора</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bookmarkStart w:id="0" w:name="_GoBack"/>
      <w:bookmarkEnd w:id="0"/>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Выборка товара должна осуществляться в сроки, указанные в разделе «График выполнения обязательств по договору» приложения 2 к Договору (далее – График). </w:t>
      </w:r>
    </w:p>
    <w:p>
      <w:r>
        <w:t>3.2. Место (места) получения товара указано(ы) в приложении 2 к Договору. </w:t>
      </w:r>
    </w:p>
    <w:p>
      <w:r>
        <w:t>3.3. Получение товара у Поставщика производится в порядке согласно Графику, а также в соответствии с иными условиями, предусмотренными Договором. </w:t>
      </w:r>
    </w:p>
    <w:p>
      <w:r>
        <w:t>3.4. Поставщик передает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Все виды погрузочно-разгрузочных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Требования к упаковке и маркировке товара установлены в Техническом задании.</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1"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2" w:name="_Ref41491508"/>
      <w:bookmarkEnd w:id="1"/>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2"/>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5000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7.3.7. За каждый день просрочки исполнения Поставщиком обязательств, предусмотренных пунктом 9.8 Договора, начисляется пеня в размере, определенном в порядке, установленном в соответствии с подпунктом 7.3.2 пункта 7.3 Договора.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Обеспечение исполнения Договора устанавливается в размере 10 процент(ов,а) начальной (максимальной) цены договора. </w:t>
      </w:r>
    </w:p>
    <w:p>
      <w:r>
        <w:t>9.2. Поставщиком внесено обеспечение исполнения Договора, в том числе с учетом положений пункта 9.6 Договора, в размере ___________________. </w:t>
      </w:r>
    </w:p>
    <w:p>
      <w:r>
        <w:t>9.3. Исполнение Договора обеспечивается независимой гарантией, соответствующей требованиям пункта 9.7 Договора (далее – независимая гарантия), или внесением денежных средств на указанный Заказчиком счет. </w:t>
      </w:r>
    </w:p>
    <w:p>
      <w:r>
        <w:t>Способ обеспечения исполнения Договора определяется участником закупки, с которым заключается Договор, самостоятельно. </w:t>
      </w:r>
    </w:p>
    <w:p>
      <w:r>
        <w:t>9.4. Реквизиты Заказчика для внесения денежных средств в качестве обеспечения исполнения Договора: в разделе 16 Договора. </w:t>
      </w:r>
    </w:p>
    <w:p>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Поставщиком обязательств, предусмотренных Договором, а также возмещению убытков, понесенных Заказчиком в связи с неисполнением или ненадлежащим исполнением Поставщиком своих обязательств по Договору. </w:t>
      </w:r>
    </w:p>
    <w:p>
      <w:r>
        <w:t>9.6.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
        <w:t>9.7.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Поставщиком основного обязательства. </w:t>
      </w:r>
    </w:p>
    <w:p>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t>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Поставщика о необходимости предоставить соответствующее обеспечение исполнения Договора. Поставщик обязан предоставить новое обеспечение исполнения Договора не позднее 1 (одного месяца) со дня надлежащего уведомления Заказчиком Поставщика о необходимости предоставить соответствующее обеспечение. Поставщик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9.9. Денежные средства, внесенные Поставщиком в качестве обеспечения исполнения Договора, возвращаются Поставщику при условии надлежащего выполнения  своих обязательств по Договору по заявлению Поставщика в течение 7 (семь) рабочих дней с момента исполнения Поставщиком обязательств по договору дней со дня получения Заказчиком соответствующего заявления Поставщика. Денежные средства возвращаются на счет, указанный Поставщиком в заявлении, либо на тот счет, с которого поступили данные денежные средства. </w:t>
      </w:r>
    </w:p>
    <w:p>
      <w:r>
        <w:t>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Поставщике в реестр недобросовестных поставщиков.</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7 рабочих дней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Приложение 6 "Список АЗС"</w:t>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Акционерное общество «Тепло Шатуры»</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"Тепло Шатуры"</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140700, Московская область,  г.о. Шатура, г. Шатура, Конный проезд, д. 7, пом. 6</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140700, Московская область,  г.о. Шатура, г. Шатура, Конный проезд, д. 7, пом. 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5049025358</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504901001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1205000115275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w:t>
            </w:r>
            <w:proofErr w:type="spellStart"/>
            <w:r w:rsidR="009942F2" w:rsidRPr="0073212F">
              <w:rPr>
                <w:lang w:val="en-US" w:eastAsia="en-US"/>
              </w:rPr>
              <w:t/>
            </w:r>
            <w:proofErr w:type="spellEnd"/>
            <w:r w:rsidR="009942F2" w:rsidRPr="0073212F">
              <w:rPr>
                <w:lang w:val="en-US" w:eastAsia="en-US"/>
              </w:rPr>
              <w:t xml:space="preserve"> АО "Тепло Шатуры"</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Филиал Центральный ПАО Банка «ФК Открытие»</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044525297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40702810400540001600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30101810945250000297</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46706254</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46786000001</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12267</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8 (985) 640-03-23</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glv22sp@mail.ru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ГЕНЕРАЛЬНЫЙ 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В. КАРАСЕВ</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6DBFEE3"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3B7F86">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AD1-0B54-470C-834F-BE0974D3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2022-04-18T07:59:00Z</cp:lastPrinted>
  <dcterms:created xsi:type="dcterms:W3CDTF">2023-03-06T07:54:00Z</dcterms:created>
  <dcterms:modified xsi:type="dcterms:W3CDTF">2023-06-06T14:49:00Z</dcterms:modified>
</cp:coreProperties>
</file>