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Снопкова Инна Владимировна</w:t>
        <w:br/>
        <w:t>заведующий</w:t>
        <w:br/>
        <w:t>МАДОУ Мещеринский д/с «Родничок»</w:t>
        <w:br/>
        <w:t>«16»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кухонного оборудования</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Мещеринский детский сад «Родничок» Ступинского муниципального района.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142855, МОСКОВСКАЯ ОБЛАСТЬ, СТУПИНСКИЙ РАЙОН, С МЕЩЕРИНО, УЛ СТРОИТЕЛЬНАЯ, ВЛАДЕНИЕ 2/1</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142855, МОСКОВСКАЯ ОБЛАСТЬ, СТУПИНСКИЙ РАЙОН, С МЕЩЕРИНО, УЛ СТРОИТЕЛЬНАЯ, ВЛАДЕНИЕ 2/1</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rodnichokm@mail.ru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7-926-6257610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Громыко Эльвира Рафаэлевна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кухонного оборудования</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  Ступино;</w:t>
              <w:br/>
              <w:t>Сроки поставки товара: ;</w:t>
              <w:br/>
              <w:t>Условия поставки товара: </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128 364 (сто двадцать восемь тысяч триста шестьдесят четыре) рубля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Бюджетные средства</w:t>
              <w:br/>
              <w:t/>
              <w:br/>
              <w:t>КБК: 901-0701-0000000000-244, 128 364 рубля 00 копеек</w:t>
              <w:br/>
              <w:t/>
              <w:br/>
              <w:t>ОКПД2: 25.99.11.112 Раковины из нержавеющей стали;</w:t>
              <w:br/>
              <w:t>27.51.28.130 Плиты кухонные электрические;</w:t>
              <w:br/>
              <w:t>27.51.11.110 Холодильники бытовые;</w:t>
              <w:br/>
              <w:t>27.51.11.110 Холодильники бытовые;</w:t>
              <w:br/>
              <w:t/>
              <w:br/>
              <w:t>ОКВЭД2: 25.99.11 Производство раковин, моек, ванн и прочих санитарно-технических изделий и их составных частей из черных металлов, меди или алюминия;</w:t>
              <w:br/>
              <w:t>27.51.2 Производство холодильников и морозильников;</w:t>
              <w:br/>
              <w:t>27.51.1 Производство стиральных машин;</w:t>
              <w:br/>
              <w:t>27.51.1 Производство стиральных машин;</w:t>
              <w:br/>
              <w:t/>
              <w:br/>
              <w:t>Код КОЗ: 01.05.03.02.02.02 Ванна моечная двухсекционная;</w:t>
              <w:br/>
              <w:t>01.02.03.01.02 Плита электрическая;</w:t>
              <w:br/>
              <w:t>01.02.03.05.04 Морозильник-шкаф;</w:t>
              <w:br/>
              <w:t>01.02.03.05.02 Холодильник бытовой с морозильной камерой;</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«19»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«26» октября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«19»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«28» октября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«28»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«28»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