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01.13.07.03.13</w:t>
            </w:r>
            <w:r w:rsidR="00B924CB">
              <w:rPr>
                <w:b/>
              </w:rPr>
              <w:t xml:space="preserve"> / </w:t>
            </w:r>
            <w:r w:rsidR="00B924CB">
              <w:t>10.20.13.122</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Горбуша тушка б/г</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270,00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01.13.07.06.01.01</w:t>
            </w:r>
            <w:r w:rsidR="00B924CB">
              <w:rPr>
                <w:b/>
              </w:rPr>
              <w:t xml:space="preserve"> / </w:t>
            </w:r>
            <w:r w:rsidR="00B924CB">
              <w:t>10.20.25.111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Консервы рыбные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36,26</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01.13.07.03.75</w:t>
            </w:r>
            <w:r w:rsidR="00B924CB">
              <w:rPr>
                <w:b/>
              </w:rPr>
              <w:t xml:space="preserve"> / </w:t>
            </w:r>
            <w:r w:rsidR="00B924CB">
              <w:t>10.20.13.122</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Треска тушка б/г</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270,00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рыбы</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Горбуша тушка б/г</w:t>
            </w:r>
            <w:r w:rsidR="00473384">
              <w:rPr>
                <w:lang w:val="en-US"/>
              </w:rPr>
              <w:t xml:space="preserve">; </w:t>
            </w:r>
            <w:r w:rsidR="00473384">
              <w:rPr>
                <w:lang w:val="en-US"/>
              </w:rPr>
              <w:t>270,00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Консервы рыбные</w:t>
            </w:r>
            <w:r w:rsidR="00473384">
              <w:rPr>
                <w:lang w:val="en-US"/>
              </w:rPr>
              <w:t xml:space="preserve">; </w:t>
            </w:r>
            <w:r w:rsidR="00473384">
              <w:rPr>
                <w:lang w:val="en-US"/>
              </w:rPr>
              <w:t>36,26</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Треска тушка б/г</w:t>
            </w:r>
            <w:r w:rsidR="00473384">
              <w:rPr>
                <w:lang w:val="en-US"/>
              </w:rPr>
              <w:t xml:space="preserve">; </w:t>
            </w:r>
            <w:r w:rsidR="00473384">
              <w:rPr>
                <w:lang w:val="en-US"/>
              </w:rPr>
              <w:t>270,00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01.09.2021</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рыбы)</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рыбы</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рыбы</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рыбы</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рыбы</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024101-21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