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01.21.01.02.56.279</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Контрольный материал для проверки качества питательной среды</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реагентов для биохимического анализатора Super GL и Furuno</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8 820,64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10 751,26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3 465,93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57 097,20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12 626,26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931,55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19 087,67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120 425,36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19 433,75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9 448,92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7 135,33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11 030,98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11 020,50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13 880,00 руб.</w:t>
            </w:r>
            <w:r w:rsidR="0066751E">
              <w:t>*</w:t>
            </w:r>
          </w:p>
          <w:p w:rsidRPr="00445533" w:rsidR="00E32011" w:rsidP="0034747E" w:rsidRDefault="00A175FE" w14:paraId="1575AC1F" w14:textId="7D57870B">
            <w:pPr>
              <w:ind w:firstLine="0"/>
            </w:pPr>
            <w:r w:rsidRPr="00445533" w:rsidR="00E870E6">
              <w:t>Контрольный материал для проверки качества питательной среды</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37 897,20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31.08.2022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реагентов для биохимического анализатора Super GL и Furuno</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биохимического анализатора Super GL и Furuno)</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реагентов для биохимического анализатора Super GL и Furuno</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реагентов для биохимического анализатора Super GL и Furuno</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реагентов для биохимического анализатора Super GL и Furuno</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реагентов для биохимического анализатора Super GL и Furuno</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реагентов для биохимического анализатора Super GL и Furuno</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076014-22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