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8F" w:rsidRDefault="006E6F8F"/>
    <w:tbl>
      <w:tblPr>
        <w:tblStyle w:val="a6"/>
        <w:tblpPr w:leftFromText="180" w:rightFromText="180" w:horzAnchor="page" w:tblpX="8937" w:tblpY="-5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EE5EE6" w:rsidTr="00390910">
        <w:tc>
          <w:tcPr>
            <w:tcW w:w="7393" w:type="dxa"/>
          </w:tcPr>
          <w:p w:rsidR="00EE5EE6" w:rsidRDefault="00EE5EE6" w:rsidP="00390910">
            <w:pPr>
              <w:jc w:val="center"/>
            </w:pPr>
            <w:r>
              <w:t>«УТВЕРЖДАЮ»</w:t>
            </w:r>
          </w:p>
        </w:tc>
      </w:tr>
      <w:tr w:rsidR="00EE5EE6" w:rsidTr="00390910">
        <w:tc>
          <w:tcPr>
            <w:tcW w:w="7393" w:type="dxa"/>
          </w:tcPr>
          <w:p w:rsidR="00EE5EE6" w:rsidRDefault="006E6F8F" w:rsidP="00390910">
            <w:pPr>
              <w:jc w:val="center"/>
            </w:pPr>
            <w:r>
              <w:t>И.о. заведующего</w:t>
            </w:r>
            <w:r w:rsidR="00EE5EE6">
              <w:t xml:space="preserve"> МАДОУ д/с комбинированного вида №8 «Березка»</w:t>
            </w:r>
          </w:p>
        </w:tc>
      </w:tr>
      <w:tr w:rsidR="00EE5EE6" w:rsidTr="00390910">
        <w:tc>
          <w:tcPr>
            <w:tcW w:w="7393" w:type="dxa"/>
          </w:tcPr>
          <w:p w:rsidR="00EE5EE6" w:rsidRDefault="00EE5EE6" w:rsidP="00390910">
            <w:pPr>
              <w:jc w:val="center"/>
            </w:pPr>
            <w:r>
              <w:t>___________________________</w:t>
            </w:r>
            <w:r w:rsidR="006E6F8F">
              <w:t xml:space="preserve"> </w:t>
            </w:r>
            <w:r>
              <w:t>Е.В.</w:t>
            </w:r>
            <w:r w:rsidR="006E6F8F">
              <w:t>Громова</w:t>
            </w:r>
          </w:p>
        </w:tc>
      </w:tr>
    </w:tbl>
    <w:p w:rsidR="00EE5EE6" w:rsidRDefault="00EE5EE6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E5EE6" w:rsidRDefault="00EE5EE6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E5EE6" w:rsidRDefault="00EE5EE6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832AD" w:rsidRDefault="000832AD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0832AD" w:rsidRDefault="002958F5" w:rsidP="000832A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CE143D">
        <w:rPr>
          <w:bCs/>
        </w:rPr>
        <w:t xml:space="preserve">на </w:t>
      </w:r>
      <w:r w:rsidR="00EE5EE6" w:rsidRPr="00CE143D">
        <w:rPr>
          <w:bCs/>
        </w:rPr>
        <w:t xml:space="preserve">поставку молока и </w:t>
      </w:r>
      <w:r w:rsidRPr="00CE143D">
        <w:rPr>
          <w:bCs/>
        </w:rPr>
        <w:t>молочной продукции</w:t>
      </w:r>
    </w:p>
    <w:p w:rsidR="00CE143D" w:rsidRPr="00CE143D" w:rsidRDefault="00CE143D" w:rsidP="000832AD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E143D" w:rsidRDefault="00F9164C" w:rsidP="00CE143D">
      <w:pPr>
        <w:widowControl w:val="0"/>
        <w:autoSpaceDE w:val="0"/>
        <w:autoSpaceDN w:val="0"/>
        <w:adjustRightInd w:val="0"/>
        <w:spacing w:after="0"/>
        <w:rPr>
          <w:bCs/>
        </w:rPr>
      </w:pPr>
      <w:r>
        <w:rPr>
          <w:b/>
          <w:bCs/>
        </w:rPr>
        <w:t>1.</w:t>
      </w:r>
      <w:r w:rsidR="00CE143D">
        <w:rPr>
          <w:b/>
          <w:bCs/>
        </w:rPr>
        <w:t>Наименование заказчика</w:t>
      </w:r>
      <w:r w:rsidR="00CE143D">
        <w:rPr>
          <w:bCs/>
        </w:rPr>
        <w:t>: Муниципальное автономное дошкольное образовательное учреждение «Детский сад комбинированного вида №8 «Берёзка» городского округа Ступино Московской области (МАДОУ д/с комбинированного вида №8 «Берёзка»</w:t>
      </w:r>
    </w:p>
    <w:p w:rsidR="00CE143D" w:rsidRDefault="00F9164C" w:rsidP="00CE143D">
      <w:pPr>
        <w:widowControl w:val="0"/>
        <w:autoSpaceDE w:val="0"/>
        <w:autoSpaceDN w:val="0"/>
        <w:adjustRightInd w:val="0"/>
        <w:spacing w:after="0"/>
        <w:rPr>
          <w:bCs/>
        </w:rPr>
      </w:pPr>
      <w:r>
        <w:rPr>
          <w:b/>
          <w:bCs/>
        </w:rPr>
        <w:t>2.</w:t>
      </w:r>
      <w:r w:rsidR="00CE143D">
        <w:rPr>
          <w:b/>
          <w:bCs/>
        </w:rPr>
        <w:t>Адрес</w:t>
      </w:r>
      <w:r w:rsidR="00CE143D">
        <w:rPr>
          <w:bCs/>
        </w:rPr>
        <w:t>: 142803, Московская область, городской округ Ступино, город Ступино, улица Московская , владение 9, корпус 1</w:t>
      </w:r>
      <w:bookmarkStart w:id="0" w:name="_GoBack"/>
      <w:bookmarkEnd w:id="0"/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3. Источник финансирования: </w:t>
      </w:r>
      <w:r>
        <w:rPr>
          <w:rStyle w:val="normaltextrun"/>
        </w:rPr>
        <w:t>бюджет городского округа Ступино Московской области.</w:t>
      </w:r>
      <w:r>
        <w:rPr>
          <w:rStyle w:val="eop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4. Наименование объекта закупки</w:t>
      </w:r>
      <w:r>
        <w:rPr>
          <w:rStyle w:val="normaltextrun"/>
        </w:rPr>
        <w:t>: поставка молока и молочной продукции в 1-м полугодии 2021 г.</w:t>
      </w:r>
      <w:r>
        <w:rPr>
          <w:rStyle w:val="eop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5</w:t>
      </w:r>
      <w:r>
        <w:rPr>
          <w:rStyle w:val="normaltextrun"/>
        </w:rPr>
        <w:t>. </w:t>
      </w:r>
      <w:r>
        <w:rPr>
          <w:rStyle w:val="normaltextrun"/>
          <w:b/>
          <w:bCs/>
        </w:rPr>
        <w:t>Описание объекта закупки:</w:t>
      </w:r>
      <w:r>
        <w:rPr>
          <w:rStyle w:val="normaltextrun"/>
        </w:rPr>
        <w:t> поставка молока и молочной продукции в 1-м полугодии 2021 г.</w:t>
      </w:r>
      <w:r>
        <w:rPr>
          <w:rStyle w:val="eop"/>
        </w:rPr>
        <w:t> </w:t>
      </w:r>
      <w:r>
        <w:rPr>
          <w:rStyle w:val="normaltextrun"/>
          <w:b/>
          <w:bCs/>
        </w:rPr>
        <w:t xml:space="preserve">     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6. Объем поставляемых тов</w:t>
      </w:r>
      <w:r>
        <w:rPr>
          <w:rStyle w:val="normaltextrun"/>
          <w:b/>
          <w:bCs/>
        </w:rPr>
        <w:t>а</w:t>
      </w:r>
      <w:r>
        <w:rPr>
          <w:rStyle w:val="normaltextrun"/>
          <w:b/>
          <w:bCs/>
        </w:rPr>
        <w:t>ров: </w:t>
      </w:r>
      <w:r>
        <w:rPr>
          <w:rStyle w:val="normaltextrun"/>
        </w:rPr>
        <w:t>4040,00 кг</w:t>
      </w:r>
      <w:r>
        <w:rPr>
          <w:rStyle w:val="eop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ind w:left="469" w:hanging="469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7</w:t>
      </w:r>
      <w:r>
        <w:rPr>
          <w:rStyle w:val="normaltextrun"/>
        </w:rPr>
        <w:t>. </w:t>
      </w:r>
      <w:r>
        <w:rPr>
          <w:rStyle w:val="normaltextrun"/>
          <w:b/>
          <w:bCs/>
        </w:rPr>
        <w:t>Гарантийные обязательства: </w:t>
      </w:r>
      <w:r>
        <w:rPr>
          <w:rStyle w:val="normaltextrun"/>
        </w:rPr>
        <w:t>Срок предоставления гарантии качества товара – в течение срока годности, при соблюдении условий хр</w:t>
      </w:r>
      <w:r>
        <w:rPr>
          <w:rStyle w:val="normaltextrun"/>
        </w:rPr>
        <w:t>а</w:t>
      </w:r>
      <w:r>
        <w:rPr>
          <w:rStyle w:val="normaltextrun"/>
        </w:rPr>
        <w:t>нения. Поставщик гарантирует надлежащее качество товара, его, соответствие государственным стандартам и техническим услов</w:t>
      </w:r>
      <w:r>
        <w:rPr>
          <w:rStyle w:val="normaltextrun"/>
        </w:rPr>
        <w:t>и</w:t>
      </w:r>
      <w:r>
        <w:rPr>
          <w:rStyle w:val="normaltextrun"/>
        </w:rPr>
        <w:t>ям.</w:t>
      </w:r>
      <w:r>
        <w:rPr>
          <w:rStyle w:val="eop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  <w:sz w:val="22"/>
          <w:szCs w:val="22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 Место поставки товаров:</w:t>
      </w:r>
      <w:r>
        <w:rPr>
          <w:rStyle w:val="normaltextrun"/>
          <w:rFonts w:ascii="Calibri" w:hAnsi="Calibri" w:cs="Calibri"/>
          <w:sz w:val="22"/>
          <w:szCs w:val="22"/>
        </w:rPr>
        <w:t> по адресу Заказчика.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9. Срок поставки товаров</w:t>
      </w:r>
      <w:r>
        <w:rPr>
          <w:rStyle w:val="normaltextrun"/>
          <w:rFonts w:ascii="Calibri" w:hAnsi="Calibri" w:cs="Calibri"/>
        </w:rPr>
        <w:t>: </w:t>
      </w:r>
      <w:r>
        <w:rPr>
          <w:rStyle w:val="normaltextrun"/>
        </w:rPr>
        <w:t>с 11.01.2021г по 30.06.2021 г.</w:t>
      </w:r>
      <w:r>
        <w:rPr>
          <w:rStyle w:val="eop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10. Срок и условия оплаты поставленных товаров:</w:t>
      </w:r>
      <w:r>
        <w:rPr>
          <w:rStyle w:val="normaltextrun"/>
          <w:rFonts w:ascii="Calibri" w:hAnsi="Calibri" w:cs="Calibri"/>
        </w:rPr>
        <w:t> </w:t>
      </w:r>
      <w:r>
        <w:rPr>
          <w:rStyle w:val="normaltextrun"/>
          <w:color w:val="000000"/>
        </w:rPr>
        <w:t>Оплата за поставку продуктов питания производится безналичным путем с лиц</w:t>
      </w:r>
      <w:r>
        <w:rPr>
          <w:rStyle w:val="normaltextrun"/>
          <w:color w:val="000000"/>
        </w:rPr>
        <w:t>е</w:t>
      </w:r>
      <w:r>
        <w:rPr>
          <w:rStyle w:val="normaltextrun"/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</w:t>
      </w:r>
      <w:r>
        <w:rPr>
          <w:rStyle w:val="normaltextrun"/>
          <w:color w:val="000000"/>
        </w:rPr>
        <w:t>д</w:t>
      </w:r>
      <w:r>
        <w:rPr>
          <w:rStyle w:val="normaltextrun"/>
          <w:color w:val="000000"/>
        </w:rPr>
        <w:t>ной, предоставленного счета на оплату в течение 15–</w:t>
      </w:r>
      <w:r>
        <w:rPr>
          <w:rStyle w:val="spellingerror"/>
          <w:color w:val="000000"/>
        </w:rPr>
        <w:t>ти</w:t>
      </w:r>
      <w:r>
        <w:rPr>
          <w:rStyle w:val="normaltextrun"/>
          <w:color w:val="000000"/>
        </w:rPr>
        <w:t> рабочих дней следующего месяца за отчетным.</w:t>
      </w:r>
      <w:r>
        <w:rPr>
          <w:rStyle w:val="eop"/>
          <w:color w:val="000000"/>
        </w:rPr>
        <w:t> </w:t>
      </w:r>
    </w:p>
    <w:p w:rsidR="00F9164C" w:rsidRDefault="00F9164C" w:rsidP="00F916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b/>
          <w:bCs/>
        </w:rPr>
        <w:t>11. Требования к поставке товара</w:t>
      </w:r>
      <w:r>
        <w:rPr>
          <w:rStyle w:val="normaltextrun"/>
          <w:rFonts w:ascii="Calibri" w:hAnsi="Calibri" w:cs="Calibri"/>
          <w:b/>
          <w:bCs/>
        </w:rPr>
        <w:t>: </w:t>
      </w:r>
      <w:r>
        <w:rPr>
          <w:rStyle w:val="eop"/>
          <w:rFonts w:ascii="Calibri" w:hAnsi="Calibri" w:cs="Calibri"/>
        </w:rPr>
        <w:t> </w:t>
      </w:r>
    </w:p>
    <w:p w:rsidR="008D584D" w:rsidRDefault="008D584D" w:rsidP="00524B79">
      <w:pPr>
        <w:pStyle w:val="a3"/>
        <w:rPr>
          <w:color w:val="000000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6B14AE" w:rsidRDefault="00524B79" w:rsidP="00EE5EE6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  <w:r w:rsidR="008D584D" w:rsidRPr="00965FE9">
        <w:rPr>
          <w:sz w:val="22"/>
          <w:szCs w:val="22"/>
        </w:rPr>
        <w:t>1.1.</w:t>
      </w:r>
      <w:r w:rsidR="008D584D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</w:t>
      </w:r>
      <w:r w:rsidR="008D584D" w:rsidRPr="00965FE9">
        <w:rPr>
          <w:sz w:val="22"/>
          <w:szCs w:val="22"/>
        </w:rPr>
        <w:t>х</w:t>
      </w:r>
      <w:r w:rsidR="008D584D" w:rsidRPr="00965FE9">
        <w:rPr>
          <w:sz w:val="22"/>
          <w:szCs w:val="22"/>
        </w:rPr>
        <w:t>нических документов, в соответствии с которыми они изготовлены и могут быть идентифицированы при поступлении.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lastRenderedPageBreak/>
        <w:t>матизаторы,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Поставляемые пищевые проду</w:t>
      </w:r>
      <w:r w:rsidR="00385A6F">
        <w:rPr>
          <w:sz w:val="22"/>
          <w:szCs w:val="22"/>
        </w:rPr>
        <w:t xml:space="preserve">кты </w:t>
      </w:r>
      <w:r w:rsidR="008D584D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роны Заказчика.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lastRenderedPageBreak/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ковке, отгрузке </w:t>
            </w: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вое 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ультрапастеризованное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продукции».   СанПин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 молока или из  восстановленного молока или из нормализованного, предназн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ченное для непосредственного использования в пищу, не обогащенное витаминами, микро- и макроэлементами, пробиотическими культурами и пробиотическими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дукт не должен содержать немолочные компоненты; компоненты, полученные с использов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ются.  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Закона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 продуктов.  Массовая доля жира – 3,2-3,5%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val="en-US" w:eastAsia="en-US"/>
              </w:rPr>
              <w:t>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6E6F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Творог жирностью 9%,</w:t>
            </w:r>
            <w:r>
              <w:rPr>
                <w:lang w:eastAsia="en-US"/>
              </w:rPr>
              <w:t>, ГОСТ 31453-2013 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lastRenderedPageBreak/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лочной продукции», а также в Техническом регламенте Таможенного союза (ТР ТС 021/2011) «О безопасности пищевой продукции».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рованными, непатогенными, нетоксигенными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Внешний вид и консистенция - мягкая, мажущаяся или рассыпчатая с наличием или без ощутимых частиц молочного белка.  Вкус и запах - чистые, кисломолочные, без посторонних привкусов и запахов. Для продукта из восстановленного и рекомбинирова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ного молока с привкусом сухого молока. Цвет белый или с кремовым оттенком, равномерный по всей массе.  Температура продукта при выпуске с предприятия, °С 4±2. Для изготовления продукта применяют следующее сырье: молоко коровье не ниже второго сорта. Молоко дол</w:t>
            </w: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eastAsia="en-US"/>
              </w:rPr>
              <w:t>но быть получено от здоровых сельскохозяйственных животных на территории, благополу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в отношении инфекционных и других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раженный кормовой привкус и запах.  Плотность (кг/м3) сырого молока не менее 1027,0.   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остаточный срок годности на момент поставки не менее 80%.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9%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до 250 </w:t>
            </w:r>
            <w:r>
              <w:rPr>
                <w:sz w:val="22"/>
                <w:szCs w:val="22"/>
                <w:lang w:eastAsia="en-US"/>
              </w:rPr>
              <w:lastRenderedPageBreak/>
              <w:t>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вой до 10 кг. Упакован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EE5E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6E6F8F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вок коровьего молока и предназначенная для непосредственного использования в пищу, не обогащенная витаминами, микро- и макроэлементами, пробиотическими культурами и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СанПин 2.3.2.1078-01 «Г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(ТР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>Допустимые уровни содержания потенциально опасных веществ (токсичные элементы, микотоксины, диоксины,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циды, радионуклиды) в продукте не должны превышать требований, установленных Техническим регламентом Таможенного союза ТР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(коли-формы),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моженного союза ТР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lastRenderedPageBreak/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6E6F8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  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A41DCF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CF" w:rsidRDefault="00A41DCF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ре</w:t>
            </w: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СанПин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лами. Голова или 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по 3-10 кг, в пищевом п/этиленовом пакете,без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резки, с указан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lastRenderedPageBreak/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Pr="0098472B" w:rsidRDefault="006E6F8F" w:rsidP="00C55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lastRenderedPageBreak/>
              <w:t xml:space="preserve">     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A41DCF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CF" w:rsidRDefault="00A41DCF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на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 салистый,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  Не допускается масло, имеющее консистенцию: засаленную, липкую, крошливую,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 Термоустойчивость масла -  0,7-1,0.  Массовая доля сорбиновой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дерации. Срок годности не менее 9 месяцев при температуре от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ТР ТС 033/2013 «О безопасности молока и молочной продукции», утвержденный Решением ЕЭК от 09.10.2013 № 67.  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Углеводы – 0,8 г</w:t>
            </w:r>
          </w:p>
          <w:p w:rsidR="00A41DCF" w:rsidRDefault="00A41DCF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 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Pr="0098472B" w:rsidRDefault="006E6F8F" w:rsidP="00C55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 xml:space="preserve">  170,00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DCF" w:rsidRDefault="00A41D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Pr="006E6F8F" w:rsidRDefault="00CE3336" w:rsidP="00CE3336">
      <w:pPr>
        <w:jc w:val="left"/>
      </w:pPr>
      <w:r w:rsidRPr="006E6F8F">
        <w:lastRenderedPageBreak/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6E6F8F">
        <w:t>й</w:t>
      </w:r>
      <w:r w:rsidRPr="006E6F8F">
        <w:t>ствующим ГОСТ на данную продукцию, введенным вместо утратившего силу.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Pr="00524B79" w:rsidRDefault="00524B79" w:rsidP="00524B79">
      <w:pPr>
        <w:spacing w:after="0"/>
        <w:ind w:firstLine="142"/>
        <w:jc w:val="center"/>
        <w:rPr>
          <w:b/>
          <w:bCs/>
          <w:i/>
        </w:rPr>
        <w:sectPr w:rsidR="00524B79" w:rsidRPr="00524B79" w:rsidSect="00EE5EE6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4F7CB0" w:rsidRDefault="004F7CB0" w:rsidP="005D0370">
      <w:pPr>
        <w:jc w:val="center"/>
      </w:pPr>
    </w:p>
    <w:sectPr w:rsidR="004F7CB0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84" w:rsidRDefault="00D51B84" w:rsidP="00524B79">
      <w:pPr>
        <w:spacing w:after="0"/>
      </w:pPr>
      <w:r>
        <w:separator/>
      </w:r>
    </w:p>
  </w:endnote>
  <w:endnote w:type="continuationSeparator" w:id="1">
    <w:p w:rsidR="00D51B84" w:rsidRDefault="00D51B84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84" w:rsidRDefault="00D51B84" w:rsidP="00524B79">
      <w:pPr>
        <w:spacing w:after="0"/>
      </w:pPr>
      <w:r>
        <w:separator/>
      </w:r>
    </w:p>
  </w:footnote>
  <w:footnote w:type="continuationSeparator" w:id="1">
    <w:p w:rsidR="00D51B84" w:rsidRDefault="00D51B84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17FF0"/>
    <w:rsid w:val="000249EF"/>
    <w:rsid w:val="0005557E"/>
    <w:rsid w:val="00076017"/>
    <w:rsid w:val="000832AD"/>
    <w:rsid w:val="00093CC0"/>
    <w:rsid w:val="000E4FAF"/>
    <w:rsid w:val="000F30E1"/>
    <w:rsid w:val="00101649"/>
    <w:rsid w:val="0011214C"/>
    <w:rsid w:val="0014290E"/>
    <w:rsid w:val="00153CEA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029A"/>
    <w:rsid w:val="004F7069"/>
    <w:rsid w:val="004F7CB0"/>
    <w:rsid w:val="005110B7"/>
    <w:rsid w:val="00512317"/>
    <w:rsid w:val="00514D77"/>
    <w:rsid w:val="005204B3"/>
    <w:rsid w:val="00524B79"/>
    <w:rsid w:val="005257BF"/>
    <w:rsid w:val="00532383"/>
    <w:rsid w:val="00544988"/>
    <w:rsid w:val="0058651E"/>
    <w:rsid w:val="00590161"/>
    <w:rsid w:val="005A6B85"/>
    <w:rsid w:val="005A6D9B"/>
    <w:rsid w:val="005B38E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6E6F8F"/>
    <w:rsid w:val="00700CE8"/>
    <w:rsid w:val="007061ED"/>
    <w:rsid w:val="00706500"/>
    <w:rsid w:val="00714AEF"/>
    <w:rsid w:val="007224EF"/>
    <w:rsid w:val="0073397F"/>
    <w:rsid w:val="007A45E9"/>
    <w:rsid w:val="007E18CA"/>
    <w:rsid w:val="007E5AA7"/>
    <w:rsid w:val="007E7728"/>
    <w:rsid w:val="007F5333"/>
    <w:rsid w:val="0081489D"/>
    <w:rsid w:val="00835E92"/>
    <w:rsid w:val="00857692"/>
    <w:rsid w:val="008635CF"/>
    <w:rsid w:val="008A1B44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1DCF"/>
    <w:rsid w:val="00A44A3F"/>
    <w:rsid w:val="00A541BD"/>
    <w:rsid w:val="00A60D59"/>
    <w:rsid w:val="00A61B91"/>
    <w:rsid w:val="00A72558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C29"/>
    <w:rsid w:val="00CA3855"/>
    <w:rsid w:val="00CA3F7C"/>
    <w:rsid w:val="00CD3C5C"/>
    <w:rsid w:val="00CD7C8B"/>
    <w:rsid w:val="00CE143D"/>
    <w:rsid w:val="00CE3336"/>
    <w:rsid w:val="00CE36C0"/>
    <w:rsid w:val="00D11025"/>
    <w:rsid w:val="00D1259A"/>
    <w:rsid w:val="00D51B84"/>
    <w:rsid w:val="00D60AFC"/>
    <w:rsid w:val="00D97D3C"/>
    <w:rsid w:val="00DB0FA1"/>
    <w:rsid w:val="00DB65A4"/>
    <w:rsid w:val="00DC567D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EE5EE6"/>
    <w:rsid w:val="00EF3586"/>
    <w:rsid w:val="00F355FD"/>
    <w:rsid w:val="00F52B66"/>
    <w:rsid w:val="00F80323"/>
    <w:rsid w:val="00F84FC6"/>
    <w:rsid w:val="00F9164C"/>
    <w:rsid w:val="00FA3088"/>
    <w:rsid w:val="00FC02C5"/>
    <w:rsid w:val="00FD2011"/>
    <w:rsid w:val="00FE4416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  <w:style w:type="paragraph" w:customStyle="1" w:styleId="paragraph">
    <w:name w:val="paragraph"/>
    <w:basedOn w:val="a"/>
    <w:rsid w:val="00F9164C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a0"/>
    <w:rsid w:val="00F9164C"/>
  </w:style>
  <w:style w:type="character" w:customStyle="1" w:styleId="eop">
    <w:name w:val="eop"/>
    <w:basedOn w:val="a0"/>
    <w:rsid w:val="00F9164C"/>
  </w:style>
  <w:style w:type="character" w:customStyle="1" w:styleId="spellingerror">
    <w:name w:val="spellingerror"/>
    <w:basedOn w:val="a0"/>
    <w:rsid w:val="00F91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C57E7-E453-4743-B523-5E18DBDA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воспитатели</cp:lastModifiedBy>
  <cp:revision>120</cp:revision>
  <cp:lastPrinted>2019-11-11T11:32:00Z</cp:lastPrinted>
  <dcterms:created xsi:type="dcterms:W3CDTF">2016-11-30T06:25:00Z</dcterms:created>
  <dcterms:modified xsi:type="dcterms:W3CDTF">2020-11-18T07:33:00Z</dcterms:modified>
</cp:coreProperties>
</file>