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61CDB"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01.21.01.16.04.72</w:t>
            </w:r>
            <w:r w:rsidR="00B924CB">
              <w:rPr>
                <w:b/>
              </w:rPr>
              <w:t xml:space="preserve"> / </w:t>
            </w:r>
            <w:r w:rsidR="00B924CB">
              <w:t>32.50.13.110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Экстрактор уретрального катетера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bl>
    <w:p w:rsidR="00577512" w:rsidP="001D424F" w:rsidRDefault="00061CDB"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061CDB"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061CDB"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Поставка наборов медицинских для минимальноинвазивных вмешательств</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в течение 5 раб. дн. от даты направления заявки</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30,00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30,00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7,00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25,00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25,00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Экстрактор уретрального катетера</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5 раб. дн. от даты направления заявки</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Поставка наборов медицинских для минимально инвазивных вмешательств</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наборов медицинских для минимальноинвазивных вмешательств)</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Поставка наборов медицинских для минимально 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Поставка наборов медицинских для минимальноинвазивных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Поставка наборов медицинских для минимальноинвазивных вмешательств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Поставка наборов медицинских для минимальноинвазивных вмешательств</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61CDB" w14:paraId="4EF5E733" w14:textId="77777777">
            <w:pPr>
              <w:pStyle w:val="aff2"/>
            </w:pPr>
            <w:r w:rsidR="00C40026">
              <w:t>Поставка наборов медицинских для минимальноинвазивных вмешательств</w:t>
            </w:r>
          </w:p>
        </w:tc>
        <w:tc>
          <w:tcPr>
            <w:tcW w:w="2615" w:type="pct"/>
            <w:tcBorders>
              <w:top w:val="single" w:color="auto" w:sz="4" w:space="0"/>
              <w:left w:val="single" w:color="auto" w:sz="4" w:space="0"/>
              <w:bottom w:val="single" w:color="auto" w:sz="4" w:space="0"/>
              <w:right w:val="single" w:color="auto" w:sz="4" w:space="0"/>
            </w:tcBorders>
          </w:tcPr>
          <w:p w:rsidR="00B94160" w:rsidRDefault="00061CDB"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061CDB"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117279-21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