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12" w:rsidRPr="00302776" w:rsidRDefault="00E64F4B" w:rsidP="00E64F4B">
      <w:pPr>
        <w:spacing w:after="0" w:line="240" w:lineRule="auto"/>
        <w:ind w:right="-284"/>
        <w:jc w:val="center"/>
        <w:outlineLvl w:val="0"/>
        <w:rPr>
          <w:rFonts w:ascii="Times New Roman" w:hAnsi="Times New Roman"/>
          <w:b/>
        </w:rPr>
      </w:pPr>
      <w:r w:rsidRPr="00302776">
        <w:rPr>
          <w:rFonts w:ascii="Times New Roman" w:hAnsi="Times New Roman"/>
          <w:b/>
        </w:rPr>
        <w:t xml:space="preserve">                                                                                                                                  </w:t>
      </w:r>
      <w:r w:rsidR="007F2D12" w:rsidRPr="00302776">
        <w:rPr>
          <w:rFonts w:ascii="Times New Roman" w:hAnsi="Times New Roman"/>
          <w:b/>
        </w:rPr>
        <w:t>«УТВЕРЖДАЮ»</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proofErr w:type="spellStart"/>
      <w:r w:rsidRPr="00302776">
        <w:rPr>
          <w:rFonts w:ascii="Times New Roman" w:hAnsi="Times New Roman"/>
          <w:b/>
        </w:rPr>
        <w:t>И.о</w:t>
      </w:r>
      <w:proofErr w:type="spellEnd"/>
      <w:r w:rsidRPr="00302776">
        <w:rPr>
          <w:rFonts w:ascii="Times New Roman" w:hAnsi="Times New Roman"/>
          <w:b/>
        </w:rPr>
        <w:t>. генерального директора</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АО «Управляющая компания </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«Жилой Дом»</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___________________Е.В. Добрышин</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М.П.</w:t>
      </w:r>
    </w:p>
    <w:p w:rsidR="007F2D12" w:rsidRPr="00302776" w:rsidRDefault="007F2D12" w:rsidP="00E64F4B">
      <w:pPr>
        <w:pStyle w:val="1"/>
        <w:ind w:firstLine="0"/>
        <w:jc w:val="right"/>
        <w:rPr>
          <w:b/>
          <w:bCs/>
          <w:sz w:val="22"/>
        </w:rPr>
      </w:pPr>
    </w:p>
    <w:p w:rsidR="00E02FE3" w:rsidRPr="00302776" w:rsidRDefault="00E02FE3" w:rsidP="00E64F4B">
      <w:pPr>
        <w:pStyle w:val="1"/>
        <w:ind w:firstLine="0"/>
        <w:jc w:val="right"/>
        <w:rPr>
          <w:b/>
          <w:bCs/>
          <w:sz w:val="22"/>
        </w:rPr>
      </w:pPr>
    </w:p>
    <w:p w:rsidR="0043477E" w:rsidRPr="000E37F3" w:rsidRDefault="000E37F3" w:rsidP="00E64F4B">
      <w:pPr>
        <w:pStyle w:val="1"/>
        <w:ind w:firstLine="0"/>
        <w:jc w:val="center"/>
        <w:rPr>
          <w:sz w:val="24"/>
          <w:szCs w:val="24"/>
        </w:rPr>
      </w:pPr>
      <w:r w:rsidRPr="000E37F3">
        <w:rPr>
          <w:b/>
          <w:sz w:val="24"/>
          <w:szCs w:val="24"/>
        </w:rPr>
        <w:t xml:space="preserve">Раздел 4. </w:t>
      </w:r>
      <w:r w:rsidR="0043477E" w:rsidRPr="000E37F3">
        <w:rPr>
          <w:b/>
          <w:bCs/>
          <w:sz w:val="24"/>
          <w:szCs w:val="24"/>
        </w:rPr>
        <w:t>ТЕХНИЧЕСКОЕ ЗАДАНИЕ</w:t>
      </w:r>
    </w:p>
    <w:p w:rsidR="0043477E" w:rsidRPr="00302776" w:rsidRDefault="0037449C" w:rsidP="004B2784">
      <w:pPr>
        <w:pStyle w:val="1"/>
        <w:jc w:val="center"/>
        <w:rPr>
          <w:b/>
          <w:sz w:val="22"/>
        </w:rPr>
      </w:pPr>
      <w:r w:rsidRPr="00302776">
        <w:rPr>
          <w:b/>
          <w:sz w:val="22"/>
        </w:rPr>
        <w:t xml:space="preserve">Выполнение работ по надлежащему содержанию и ремонту общего имущества собственников и нанимателей (пользователей) помещений в </w:t>
      </w:r>
      <w:r w:rsidR="003E716E" w:rsidRPr="00302776">
        <w:rPr>
          <w:b/>
          <w:sz w:val="22"/>
        </w:rPr>
        <w:t>многоквартирных домах</w:t>
      </w:r>
      <w:r w:rsidR="0043477E" w:rsidRPr="00302776">
        <w:rPr>
          <w:b/>
          <w:sz w:val="22"/>
        </w:rPr>
        <w:t xml:space="preserve"> </w:t>
      </w:r>
    </w:p>
    <w:p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3E716E" w:rsidRPr="00302776">
        <w:rPr>
          <w:rFonts w:ascii="Times New Roman" w:hAnsi="Times New Roman"/>
        </w:rPr>
        <w:t>выполнение работ по надлежащему содержанию и ремонту общего имущества собственников и нанимателей (пользователей) помещений</w:t>
      </w:r>
      <w:r w:rsidR="00B709A7" w:rsidRPr="00302776">
        <w:rPr>
          <w:rFonts w:ascii="Times New Roman" w:hAnsi="Times New Roman"/>
        </w:rPr>
        <w:t xml:space="preserve"> в многоквартирных домах, обслуживаемых </w:t>
      </w:r>
      <w:r w:rsidR="00950470" w:rsidRPr="00302776">
        <w:rPr>
          <w:rFonts w:ascii="Times New Roman" w:hAnsi="Times New Roman"/>
        </w:rPr>
        <w:t xml:space="preserve">Акционерным обществом </w:t>
      </w:r>
      <w:r w:rsidR="00B709A7" w:rsidRPr="00302776">
        <w:rPr>
          <w:rFonts w:ascii="Times New Roman" w:hAnsi="Times New Roman"/>
        </w:rPr>
        <w:t>«Управляющая компания «Жилой дом»</w:t>
      </w:r>
      <w:r w:rsidR="00965713" w:rsidRPr="00302776">
        <w:rPr>
          <w:rFonts w:ascii="Times New Roman" w:hAnsi="Times New Roman"/>
        </w:rPr>
        <w:t>.</w:t>
      </w:r>
    </w:p>
    <w:p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3.7. Проведение работ по текущему и капитальному</w:t>
      </w:r>
      <w:r w:rsidR="00945F08" w:rsidRPr="00302776">
        <w:rPr>
          <w:rFonts w:ascii="Times New Roman" w:hAnsi="Times New Roman"/>
        </w:rPr>
        <w:t xml:space="preserve"> 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Выполнение работ по ремонту </w:t>
      </w:r>
      <w:r w:rsidR="003E716E" w:rsidRPr="00302776">
        <w:rPr>
          <w:sz w:val="22"/>
          <w:szCs w:val="22"/>
        </w:rPr>
        <w:t>общего имущества многоквартирных домов</w:t>
      </w:r>
      <w:r w:rsidR="0057644F" w:rsidRPr="00302776">
        <w:rPr>
          <w:sz w:val="22"/>
          <w:szCs w:val="22"/>
        </w:rPr>
        <w:t>,</w:t>
      </w:r>
      <w:r w:rsidR="00482F87" w:rsidRPr="00302776">
        <w:rPr>
          <w:sz w:val="22"/>
          <w:szCs w:val="22"/>
        </w:rPr>
        <w:t xml:space="preserve"> </w:t>
      </w:r>
      <w:r w:rsidRPr="00302776">
        <w:rPr>
          <w:sz w:val="22"/>
          <w:szCs w:val="22"/>
        </w:rPr>
        <w:t xml:space="preserve">осуществляется </w:t>
      </w:r>
      <w:r w:rsidR="00482F87" w:rsidRPr="00302776">
        <w:rPr>
          <w:sz w:val="22"/>
          <w:szCs w:val="22"/>
        </w:rPr>
        <w:t xml:space="preserve">на основании заявок </w:t>
      </w:r>
      <w:r w:rsidRPr="00302776">
        <w:rPr>
          <w:sz w:val="22"/>
          <w:szCs w:val="22"/>
        </w:rPr>
        <w:t>заказчика</w:t>
      </w:r>
      <w:r w:rsidR="00482F87" w:rsidRPr="00302776">
        <w:rPr>
          <w:sz w:val="22"/>
          <w:szCs w:val="22"/>
        </w:rPr>
        <w:t>.</w:t>
      </w:r>
    </w:p>
    <w:p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rsidR="0037449C" w:rsidRPr="00302776" w:rsidRDefault="0037449C" w:rsidP="004B2784">
      <w:pPr>
        <w:pStyle w:val="s3"/>
        <w:shd w:val="clear" w:color="auto" w:fill="FFFFFF"/>
        <w:spacing w:before="0" w:beforeAutospacing="0" w:after="0" w:afterAutospacing="0"/>
        <w:ind w:firstLine="709"/>
        <w:jc w:val="both"/>
        <w:rPr>
          <w:bCs/>
          <w:sz w:val="22"/>
          <w:szCs w:val="22"/>
        </w:rPr>
      </w:pPr>
      <w:r w:rsidRPr="00302776">
        <w:rPr>
          <w:sz w:val="22"/>
          <w:szCs w:val="22"/>
        </w:rPr>
        <w:lastRenderedPageBreak/>
        <w:t>- П</w:t>
      </w:r>
      <w:r w:rsidR="000F39AD" w:rsidRPr="00302776">
        <w:rPr>
          <w:bCs/>
          <w:sz w:val="22"/>
          <w:szCs w:val="22"/>
        </w:rPr>
        <w:t>равилам</w:t>
      </w:r>
      <w:r w:rsidRPr="00302776">
        <w:rPr>
          <w:bCs/>
          <w:sz w:val="22"/>
          <w:szCs w:val="22"/>
        </w:rPr>
        <w:t xml:space="preserve"> </w:t>
      </w:r>
      <w:r w:rsidR="000F39AD" w:rsidRPr="00302776">
        <w:rPr>
          <w:bCs/>
          <w:sz w:val="22"/>
          <w:szCs w:val="22"/>
        </w:rPr>
        <w:t>содержания общего имущества в многоквартир</w:t>
      </w:r>
      <w:r w:rsidR="004B2784" w:rsidRPr="00302776">
        <w:rPr>
          <w:bCs/>
          <w:sz w:val="22"/>
          <w:szCs w:val="22"/>
        </w:rPr>
        <w:t>ном доме</w:t>
      </w:r>
      <w:r w:rsidRPr="00302776">
        <w:rPr>
          <w:bCs/>
          <w:sz w:val="22"/>
          <w:szCs w:val="22"/>
        </w:rPr>
        <w:t>,</w:t>
      </w:r>
      <w:r w:rsidR="004B2784" w:rsidRPr="00302776">
        <w:rPr>
          <w:bCs/>
          <w:sz w:val="22"/>
          <w:szCs w:val="22"/>
        </w:rPr>
        <w:t xml:space="preserve"> утвержденным</w:t>
      </w:r>
      <w:r w:rsidR="000F39AD" w:rsidRPr="00302776">
        <w:rPr>
          <w:bCs/>
          <w:sz w:val="22"/>
          <w:szCs w:val="22"/>
        </w:rPr>
        <w:t xml:space="preserve"> </w:t>
      </w:r>
      <w:hyperlink r:id="rId7" w:history="1">
        <w:r w:rsidR="000F39AD" w:rsidRPr="00302776">
          <w:rPr>
            <w:bCs/>
            <w:sz w:val="22"/>
            <w:szCs w:val="22"/>
          </w:rPr>
          <w:t>постановлением</w:t>
        </w:r>
      </w:hyperlink>
      <w:r w:rsidR="000F39AD" w:rsidRPr="00302776">
        <w:rPr>
          <w:bCs/>
          <w:sz w:val="22"/>
          <w:szCs w:val="22"/>
        </w:rPr>
        <w:t xml:space="preserve"> Правительства Российской </w:t>
      </w:r>
      <w:r w:rsidR="004B2784" w:rsidRPr="00302776">
        <w:rPr>
          <w:bCs/>
          <w:sz w:val="22"/>
          <w:szCs w:val="22"/>
        </w:rPr>
        <w:t>Федерации</w:t>
      </w:r>
      <w:r w:rsidR="000F39AD" w:rsidRPr="00302776">
        <w:rPr>
          <w:bCs/>
          <w:sz w:val="22"/>
          <w:szCs w:val="22"/>
        </w:rPr>
        <w:t xml:space="preserve"> от 13 августа 2006 г. N 491</w:t>
      </w:r>
      <w:r w:rsidRPr="00302776">
        <w:rPr>
          <w:bCs/>
          <w:sz w:val="22"/>
          <w:szCs w:val="22"/>
        </w:rPr>
        <w:t>;</w:t>
      </w:r>
    </w:p>
    <w:p w:rsidR="0037449C" w:rsidRPr="00302776" w:rsidRDefault="0037449C" w:rsidP="004B2784">
      <w:pPr>
        <w:pStyle w:val="s3"/>
        <w:shd w:val="clear" w:color="auto" w:fill="FFFFFF"/>
        <w:spacing w:before="0" w:beforeAutospacing="0" w:after="0" w:afterAutospacing="0"/>
        <w:ind w:firstLine="709"/>
        <w:jc w:val="both"/>
        <w:rPr>
          <w:bCs/>
          <w:sz w:val="22"/>
          <w:szCs w:val="22"/>
        </w:rPr>
      </w:pPr>
      <w:r w:rsidRPr="00302776">
        <w:rPr>
          <w:bCs/>
          <w:sz w:val="22"/>
          <w:szCs w:val="22"/>
        </w:rPr>
        <w:t>-</w:t>
      </w:r>
      <w:r w:rsidR="000F39AD" w:rsidRPr="00302776">
        <w:rPr>
          <w:bCs/>
          <w:sz w:val="22"/>
          <w:szCs w:val="22"/>
        </w:rPr>
        <w:t xml:space="preserve"> Постановлению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302776">
        <w:rPr>
          <w:bCs/>
          <w:sz w:val="22"/>
          <w:szCs w:val="22"/>
        </w:rPr>
        <w:t>;</w:t>
      </w:r>
    </w:p>
    <w:p w:rsidR="0037449C" w:rsidRPr="00302776" w:rsidRDefault="0037449C" w:rsidP="004B2784">
      <w:pPr>
        <w:pStyle w:val="s3"/>
        <w:shd w:val="clear" w:color="auto" w:fill="FFFFFF"/>
        <w:spacing w:before="0" w:beforeAutospacing="0" w:after="0" w:afterAutospacing="0"/>
        <w:ind w:firstLine="709"/>
        <w:jc w:val="both"/>
        <w:rPr>
          <w:sz w:val="22"/>
          <w:szCs w:val="22"/>
        </w:rPr>
      </w:pPr>
      <w:r w:rsidRPr="00302776">
        <w:rPr>
          <w:bCs/>
          <w:sz w:val="22"/>
          <w:szCs w:val="22"/>
        </w:rPr>
        <w:t>-</w:t>
      </w:r>
      <w:r w:rsidR="000F39AD" w:rsidRPr="00302776">
        <w:rPr>
          <w:sz w:val="22"/>
          <w:szCs w:val="22"/>
        </w:rPr>
        <w:t xml:space="preserve"> </w:t>
      </w:r>
      <w:r w:rsidR="0023020F" w:rsidRPr="00302776">
        <w:rPr>
          <w:sz w:val="22"/>
          <w:szCs w:val="22"/>
        </w:rPr>
        <w:t>Правила</w:t>
      </w:r>
      <w:r w:rsidR="00F42B59" w:rsidRPr="00302776">
        <w:rPr>
          <w:sz w:val="22"/>
          <w:szCs w:val="22"/>
        </w:rPr>
        <w:t>м</w:t>
      </w:r>
      <w:r w:rsidR="0023020F" w:rsidRPr="00302776">
        <w:rPr>
          <w:sz w:val="22"/>
          <w:szCs w:val="22"/>
        </w:rPr>
        <w:t xml:space="preserve"> и норм</w:t>
      </w:r>
      <w:r w:rsidR="00F42B59" w:rsidRPr="00302776">
        <w:rPr>
          <w:sz w:val="22"/>
          <w:szCs w:val="22"/>
        </w:rPr>
        <w:t>ам</w:t>
      </w:r>
      <w:r w:rsidR="0023020F" w:rsidRPr="00302776">
        <w:rPr>
          <w:sz w:val="22"/>
          <w:szCs w:val="22"/>
        </w:rPr>
        <w:t xml:space="preserve"> технической эксплуатации жилищного фонда</w:t>
      </w:r>
      <w:r w:rsidR="00F42B59" w:rsidRPr="00302776">
        <w:rPr>
          <w:sz w:val="22"/>
          <w:szCs w:val="22"/>
        </w:rPr>
        <w:t>,</w:t>
      </w:r>
      <w:r w:rsidR="0023020F" w:rsidRPr="00302776">
        <w:rPr>
          <w:sz w:val="22"/>
          <w:szCs w:val="22"/>
        </w:rPr>
        <w:t xml:space="preserve"> утвержденны</w:t>
      </w:r>
      <w:r w:rsidR="00AB4068" w:rsidRPr="00302776">
        <w:rPr>
          <w:sz w:val="22"/>
          <w:szCs w:val="22"/>
        </w:rPr>
        <w:t xml:space="preserve">м </w:t>
      </w:r>
      <w:r w:rsidR="0023020F" w:rsidRPr="00302776">
        <w:rPr>
          <w:sz w:val="22"/>
          <w:szCs w:val="22"/>
        </w:rPr>
        <w:t>Постановление</w:t>
      </w:r>
      <w:r w:rsidR="00AB4068" w:rsidRPr="00302776">
        <w:rPr>
          <w:sz w:val="22"/>
          <w:szCs w:val="22"/>
        </w:rPr>
        <w:t>м</w:t>
      </w:r>
      <w:r w:rsidR="0023020F" w:rsidRPr="00302776">
        <w:rPr>
          <w:sz w:val="22"/>
          <w:szCs w:val="22"/>
        </w:rPr>
        <w:t xml:space="preserve"> Госкомитета Российской Федерации по строительству и жилищно-коммунальному комплексу от 27 сентября 2003 г. N 170</w:t>
      </w:r>
      <w:r w:rsidRPr="00302776">
        <w:rPr>
          <w:sz w:val="22"/>
          <w:szCs w:val="22"/>
        </w:rPr>
        <w:t>;</w:t>
      </w:r>
    </w:p>
    <w:p w:rsidR="0037449C" w:rsidRPr="00302776" w:rsidRDefault="0037449C" w:rsidP="004B2784">
      <w:pPr>
        <w:pStyle w:val="s3"/>
        <w:shd w:val="clear" w:color="auto" w:fill="FFFFFF"/>
        <w:spacing w:before="0" w:beforeAutospacing="0" w:after="0" w:afterAutospacing="0"/>
        <w:ind w:firstLine="709"/>
        <w:jc w:val="both"/>
        <w:rPr>
          <w:sz w:val="22"/>
          <w:szCs w:val="22"/>
        </w:rPr>
      </w:pPr>
      <w:r w:rsidRPr="00302776">
        <w:rPr>
          <w:sz w:val="22"/>
          <w:szCs w:val="22"/>
        </w:rPr>
        <w:t>-</w:t>
      </w:r>
      <w:r w:rsidR="0023020F" w:rsidRPr="00302776">
        <w:rPr>
          <w:sz w:val="22"/>
          <w:szCs w:val="22"/>
        </w:rPr>
        <w:t xml:space="preserve"> Правил</w:t>
      </w:r>
      <w:r w:rsidR="00F42B59" w:rsidRPr="00302776">
        <w:rPr>
          <w:sz w:val="22"/>
          <w:szCs w:val="22"/>
        </w:rPr>
        <w:t>ам</w:t>
      </w:r>
      <w:r w:rsidR="0023020F" w:rsidRPr="00302776">
        <w:rPr>
          <w:sz w:val="22"/>
          <w:szCs w:val="22"/>
        </w:rPr>
        <w:t xml:space="preserve"> пожарной безопасности в Российской Федерации</w:t>
      </w:r>
      <w:r w:rsidR="00AB4068" w:rsidRPr="00302776">
        <w:rPr>
          <w:sz w:val="22"/>
          <w:szCs w:val="22"/>
        </w:rPr>
        <w:t>,</w:t>
      </w:r>
      <w:r w:rsidR="0023020F" w:rsidRPr="00302776">
        <w:rPr>
          <w:sz w:val="22"/>
          <w:szCs w:val="22"/>
        </w:rPr>
        <w:t xml:space="preserve">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 июня 2003 г. № 313</w:t>
      </w:r>
      <w:r w:rsidRPr="00302776">
        <w:rPr>
          <w:sz w:val="22"/>
          <w:szCs w:val="22"/>
        </w:rPr>
        <w:t>;</w:t>
      </w:r>
    </w:p>
    <w:p w:rsidR="004B2784"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w:t>
      </w:r>
      <w:r w:rsidR="00AB4068" w:rsidRPr="00302776">
        <w:rPr>
          <w:sz w:val="22"/>
          <w:szCs w:val="22"/>
        </w:rPr>
        <w:t>угими</w:t>
      </w:r>
      <w:r w:rsidRPr="00302776">
        <w:rPr>
          <w:sz w:val="22"/>
          <w:szCs w:val="22"/>
        </w:rPr>
        <w:t xml:space="preserve"> документами, удостоверяющими их качество.</w:t>
      </w:r>
    </w:p>
    <w:p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w:t>
      </w:r>
      <w:bookmarkStart w:id="0" w:name="_GoBack"/>
      <w:bookmarkEnd w:id="0"/>
      <w:r w:rsidRPr="00302776">
        <w:rPr>
          <w:sz w:val="22"/>
          <w:szCs w:val="22"/>
        </w:rPr>
        <w:t>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rsidR="0037449C" w:rsidRPr="00302776" w:rsidRDefault="006738AA" w:rsidP="0037449C">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выполнения работ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302776">
        <w:rPr>
          <w:rFonts w:ascii="Times New Roman" w:hAnsi="Times New Roman"/>
        </w:rPr>
        <w:t>с 01.0</w:t>
      </w:r>
      <w:r w:rsidR="00E60CBF">
        <w:rPr>
          <w:rFonts w:ascii="Times New Roman" w:hAnsi="Times New Roman"/>
        </w:rPr>
        <w:t>2</w:t>
      </w:r>
      <w:r w:rsidR="00302776">
        <w:rPr>
          <w:rFonts w:ascii="Times New Roman" w:hAnsi="Times New Roman"/>
        </w:rPr>
        <w:t>.2021г. по 3</w:t>
      </w:r>
      <w:r w:rsidR="00E60CBF">
        <w:rPr>
          <w:rFonts w:ascii="Times New Roman" w:hAnsi="Times New Roman"/>
        </w:rPr>
        <w:t>1</w:t>
      </w:r>
      <w:r w:rsidR="00302776">
        <w:rPr>
          <w:rFonts w:ascii="Times New Roman" w:hAnsi="Times New Roman"/>
        </w:rPr>
        <w:t>.0</w:t>
      </w:r>
      <w:r w:rsidR="00E60CBF">
        <w:rPr>
          <w:rFonts w:ascii="Times New Roman" w:hAnsi="Times New Roman"/>
        </w:rPr>
        <w:t>7</w:t>
      </w:r>
      <w:r w:rsidR="00302776">
        <w:rPr>
          <w:rFonts w:ascii="Times New Roman" w:hAnsi="Times New Roman"/>
        </w:rPr>
        <w:t>.2021г</w:t>
      </w:r>
      <w:r w:rsidR="0037449C" w:rsidRPr="00302776">
        <w:rPr>
          <w:rFonts w:ascii="Times New Roman" w:hAnsi="Times New Roman"/>
        </w:rPr>
        <w:t>.</w:t>
      </w:r>
    </w:p>
    <w:p w:rsidR="003E5363" w:rsidRPr="00302776" w:rsidRDefault="004B2784" w:rsidP="00B30A25">
      <w:pPr>
        <w:spacing w:after="0" w:line="240" w:lineRule="auto"/>
        <w:ind w:firstLine="709"/>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работ (оказания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т.ч.: </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proofErr w:type="gramStart"/>
            <w:r w:rsidRPr="00302776">
              <w:rPr>
                <w:rFonts w:ascii="Times New Roman" w:hAnsi="Times New Roman"/>
              </w:rPr>
              <w:t>общедомового  узла</w:t>
            </w:r>
            <w:proofErr w:type="gramEnd"/>
            <w:r w:rsidRPr="00302776">
              <w:rPr>
                <w:rFonts w:ascii="Times New Roman" w:hAnsi="Times New Roman"/>
              </w:rPr>
              <w:t xml:space="preserve"> учета потребления коммунальных ресурсов, в т.ч.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proofErr w:type="gramStart"/>
            <w:r w:rsidRPr="00302776">
              <w:rPr>
                <w:rFonts w:ascii="Times New Roman" w:hAnsi="Times New Roman"/>
              </w:rPr>
              <w:t>Прием  граждан</w:t>
            </w:r>
            <w:proofErr w:type="gramEnd"/>
            <w:r w:rsidRPr="00302776">
              <w:rPr>
                <w:rFonts w:ascii="Times New Roman" w:hAnsi="Times New Roman"/>
              </w:rPr>
              <w:t xml:space="preserve">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 графику такого приема</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lastRenderedPageBreak/>
              <w:t>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ight="-19"/>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rsidR="003E5363" w:rsidRPr="00302776" w:rsidRDefault="003E5363" w:rsidP="0037449C">
            <w:pPr>
              <w:spacing w:after="0" w:line="240" w:lineRule="auto"/>
              <w:ind w:left="-108" w:right="-19"/>
              <w:jc w:val="center"/>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proofErr w:type="gramStart"/>
            <w:r w:rsidRPr="00302776">
              <w:rPr>
                <w:rFonts w:ascii="Times New Roman" w:hAnsi="Times New Roman" w:cs="Times New Roman"/>
                <w:sz w:val="22"/>
                <w:szCs w:val="22"/>
              </w:rPr>
              <w:t>Мытье  лестничных</w:t>
            </w:r>
            <w:proofErr w:type="gramEnd"/>
            <w:r w:rsidRPr="00302776">
              <w:rPr>
                <w:rFonts w:ascii="Times New Roman" w:hAnsi="Times New Roman" w:cs="Times New Roman"/>
                <w:sz w:val="22"/>
                <w:szCs w:val="22"/>
              </w:rPr>
              <w:t xml:space="preserve">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Влажное подметание лестничных площадок перед лифтами и перед квартирами (при обеспечении доступа) со 2-го по 17 этажи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3 раза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 площадок и плинтусов полов перед лифтами и перед квартирами (при обеспечении доступа) со 2-го по 17 этажи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proofErr w:type="gramStart"/>
            <w:r w:rsidRPr="00302776">
              <w:rPr>
                <w:rFonts w:ascii="Times New Roman" w:hAnsi="Times New Roman" w:cs="Times New Roman"/>
                <w:sz w:val="22"/>
                <w:szCs w:val="22"/>
              </w:rPr>
              <w:t>лестниц  запасного</w:t>
            </w:r>
            <w:proofErr w:type="gramEnd"/>
            <w:r w:rsidRPr="00302776">
              <w:rPr>
                <w:rFonts w:ascii="Times New Roman" w:hAnsi="Times New Roman" w:cs="Times New Roman"/>
                <w:sz w:val="22"/>
                <w:szCs w:val="22"/>
              </w:rPr>
              <w:t xml:space="preserve">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10.10.</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rsidTr="0037449C">
        <w:tc>
          <w:tcPr>
            <w:tcW w:w="709" w:type="dxa"/>
            <w:tcBorders>
              <w:top w:val="single" w:sz="6"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10.11.</w:t>
            </w:r>
          </w:p>
        </w:tc>
        <w:tc>
          <w:tcPr>
            <w:tcW w:w="7088" w:type="dxa"/>
            <w:tcBorders>
              <w:top w:val="single" w:sz="6" w:space="0" w:color="auto"/>
              <w:left w:val="single" w:sz="6" w:space="0" w:color="auto"/>
              <w:bottom w:val="double" w:sz="4" w:space="0" w:color="auto"/>
              <w:right w:val="single" w:sz="6" w:space="0" w:color="auto"/>
            </w:tcBorders>
          </w:tcPr>
          <w:p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зимний период (с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 xml:space="preserve">позднее 2 часов после </w:t>
            </w:r>
            <w:proofErr w:type="gramStart"/>
            <w:r w:rsidRPr="00302776">
              <w:rPr>
                <w:rFonts w:ascii="Times New Roman" w:hAnsi="Times New Roman"/>
              </w:rPr>
              <w:t>начала  снегопада</w:t>
            </w:r>
            <w:proofErr w:type="gramEnd"/>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Посыпка территории </w:t>
            </w:r>
            <w:proofErr w:type="spellStart"/>
            <w:r w:rsidRPr="00302776">
              <w:rPr>
                <w:rFonts w:ascii="Times New Roman" w:hAnsi="Times New Roman"/>
              </w:rPr>
              <w:t>противогололедными</w:t>
            </w:r>
            <w:proofErr w:type="spellEnd"/>
            <w:r w:rsidRPr="00302776">
              <w:rPr>
                <w:rFonts w:ascii="Times New Roman" w:hAnsi="Times New Roman"/>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w:t>
            </w:r>
            <w:proofErr w:type="gramStart"/>
            <w:r w:rsidRPr="00302776">
              <w:rPr>
                <w:rFonts w:ascii="Times New Roman" w:hAnsi="Times New Roman"/>
              </w:rPr>
              <w:t xml:space="preserve">подъездов,   </w:t>
            </w:r>
            <w:proofErr w:type="gramEnd"/>
            <w:r w:rsidRPr="00302776">
              <w:rPr>
                <w:rFonts w:ascii="Times New Roman" w:hAnsi="Times New Roman"/>
              </w:rPr>
              <w:br/>
              <w:t xml:space="preserve">сбивание сосулек            </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rPr>
          <w:trHeight w:val="238"/>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12.</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мусоропроводов</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p>
        </w:tc>
      </w:tr>
      <w:tr w:rsidR="003E5363" w:rsidRPr="00302776" w:rsidTr="0037449C">
        <w:trPr>
          <w:trHeight w:val="254"/>
        </w:trPr>
        <w:tc>
          <w:tcPr>
            <w:tcW w:w="709" w:type="dxa"/>
            <w:tcBorders>
              <w:top w:val="double" w:sz="4"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12.1.</w:t>
            </w:r>
          </w:p>
        </w:tc>
        <w:tc>
          <w:tcPr>
            <w:tcW w:w="7088" w:type="dxa"/>
            <w:tcBorders>
              <w:top w:val="double" w:sz="4" w:space="0" w:color="auto"/>
              <w:left w:val="single" w:sz="6" w:space="0" w:color="auto"/>
              <w:bottom w:val="double" w:sz="4" w:space="0" w:color="auto"/>
              <w:right w:val="single" w:sz="6" w:space="0" w:color="auto"/>
            </w:tcBorders>
            <w:vAlign w:val="center"/>
          </w:tcPr>
          <w:p w:rsidR="003E5363" w:rsidRPr="00302776" w:rsidRDefault="003E5363" w:rsidP="0037449C">
            <w:pPr>
              <w:widowControl w:val="0"/>
              <w:spacing w:after="0" w:line="240" w:lineRule="auto"/>
              <w:rPr>
                <w:rFonts w:ascii="Times New Roman" w:hAnsi="Times New Roman"/>
              </w:rPr>
            </w:pPr>
            <w:r w:rsidRPr="00302776">
              <w:rPr>
                <w:rFonts w:ascii="Times New Roman" w:hAnsi="Times New Roman"/>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2268" w:type="dxa"/>
            <w:gridSpan w:val="2"/>
            <w:tcBorders>
              <w:top w:val="double" w:sz="4"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right="123" w:firstLine="36"/>
              <w:jc w:val="center"/>
              <w:rPr>
                <w:rFonts w:ascii="Times New Roman" w:hAnsi="Times New Roman"/>
              </w:rPr>
            </w:pPr>
            <w:r w:rsidRPr="00302776">
              <w:rPr>
                <w:rFonts w:ascii="Times New Roman" w:hAnsi="Times New Roman"/>
              </w:rPr>
              <w:t>в соответствии с санитарными нормами</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13</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p>
        </w:tc>
      </w:tr>
      <w:tr w:rsidR="003E5363" w:rsidRPr="00302776"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состояния строительных конструкций и инженерного оборудования </w:t>
            </w:r>
            <w:proofErr w:type="gramStart"/>
            <w:r w:rsidRPr="00302776">
              <w:rPr>
                <w:rFonts w:ascii="Times New Roman" w:hAnsi="Times New Roman"/>
              </w:rPr>
              <w:t>МОП,  планово</w:t>
            </w:r>
            <w:proofErr w:type="gramEnd"/>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proofErr w:type="gramStart"/>
            <w:r w:rsidRPr="00302776">
              <w:rPr>
                <w:rFonts w:ascii="Times New Roman" w:hAnsi="Times New Roman"/>
              </w:rPr>
              <w:t>мест</w:t>
            </w:r>
            <w:r w:rsidR="0037449C" w:rsidRPr="00302776">
              <w:rPr>
                <w:rFonts w:ascii="Times New Roman" w:hAnsi="Times New Roman"/>
              </w:rPr>
              <w:t xml:space="preserve"> </w:t>
            </w:r>
            <w:r w:rsidRPr="00302776">
              <w:rPr>
                <w:rFonts w:ascii="Times New Roman" w:hAnsi="Times New Roman"/>
              </w:rPr>
              <w:t xml:space="preserve"> общего</w:t>
            </w:r>
            <w:proofErr w:type="gramEnd"/>
            <w:r w:rsidRPr="00302776">
              <w:rPr>
                <w:rFonts w:ascii="Times New Roman" w:hAnsi="Times New Roman"/>
              </w:rPr>
              <w:t xml:space="preserve">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rsidR="003E5363" w:rsidRPr="00302776" w:rsidRDefault="003E5363" w:rsidP="0037449C">
            <w:pPr>
              <w:spacing w:after="0" w:line="240" w:lineRule="auto"/>
              <w:rPr>
                <w:rFonts w:ascii="Times New Roman" w:hAnsi="Times New Roman"/>
              </w:rPr>
            </w:pPr>
            <w:r w:rsidRPr="00302776">
              <w:rPr>
                <w:rFonts w:ascii="Times New Roman" w:hAnsi="Times New Roman"/>
              </w:rPr>
              <w:t>- частичный ремонт кровли;</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осмотр пожарной сигнализации и средств тушения в домах.</w:t>
            </w:r>
          </w:p>
          <w:p w:rsidR="003E5363" w:rsidRPr="00302776" w:rsidRDefault="003E5363" w:rsidP="0037449C">
            <w:pPr>
              <w:spacing w:after="0" w:line="240" w:lineRule="auto"/>
              <w:rPr>
                <w:rFonts w:ascii="Times New Roman" w:hAnsi="Times New Roman"/>
              </w:rPr>
            </w:pPr>
            <w:r w:rsidRPr="00302776">
              <w:rPr>
                <w:rFonts w:ascii="Times New Roman" w:hAnsi="Times New Roman"/>
              </w:rPr>
              <w:t>4.При подготовке дома к эксплуатации в осенне-зимний период:</w:t>
            </w:r>
          </w:p>
          <w:p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труб наружного водостока;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устранение причин подтапливания подвальных помещений;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-наладка автоматизированной системы регулирования ИТП</w:t>
            </w:r>
          </w:p>
          <w:p w:rsidR="003E5363" w:rsidRPr="00302776" w:rsidRDefault="004B2784" w:rsidP="0037449C">
            <w:pPr>
              <w:spacing w:after="0" w:line="240" w:lineRule="auto"/>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rsidTr="0037449C">
        <w:trPr>
          <w:trHeight w:val="410"/>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w:t>
            </w:r>
            <w:r w:rsidR="000778B5" w:rsidRPr="00302776">
              <w:rPr>
                <w:rFonts w:ascii="Times New Roman" w:hAnsi="Times New Roman"/>
              </w:rPr>
              <w:t>4</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rsidR="00302776" w:rsidRPr="00302776" w:rsidRDefault="00302776" w:rsidP="002063AE">
      <w:pPr>
        <w:spacing w:after="0" w:line="240" w:lineRule="auto"/>
        <w:jc w:val="center"/>
        <w:rPr>
          <w:rFonts w:ascii="Times New Roman" w:hAnsi="Times New Roman"/>
        </w:rPr>
      </w:pPr>
    </w:p>
    <w:p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rsidR="000D3706" w:rsidRPr="00302776" w:rsidRDefault="000D3706" w:rsidP="000C0387">
      <w:pPr>
        <w:widowControl w:val="0"/>
        <w:autoSpaceDE w:val="0"/>
        <w:autoSpaceDN w:val="0"/>
        <w:adjustRightInd w:val="0"/>
        <w:spacing w:after="0" w:line="240" w:lineRule="auto"/>
        <w:ind w:firstLine="360"/>
        <w:jc w:val="both"/>
        <w:rPr>
          <w:rFonts w:ascii="Times New Roman" w:hAnsi="Times New Roman"/>
          <w:b/>
        </w:rPr>
      </w:pPr>
    </w:p>
    <w:tbl>
      <w:tblPr>
        <w:tblW w:w="10065"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7229"/>
        <w:gridCol w:w="2127"/>
      </w:tblGrid>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 п/п</w:t>
            </w:r>
          </w:p>
        </w:tc>
        <w:tc>
          <w:tcPr>
            <w:tcW w:w="7229" w:type="dxa"/>
            <w:shd w:val="clear" w:color="auto" w:fill="auto"/>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Дом</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Площадь</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Белинского ул.,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636,90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Белинского ул., 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616,90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Белинского ул.,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645,90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Белинского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2 588,70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Достоевского ул.,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658,50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101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1 945,70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345,70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155,20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Интернациональная ул., 117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86,70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120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6 603,80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121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104,00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130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164,70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132/1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240,10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134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211,00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909,70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Интернациональная ул., 4/а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144,70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8/2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403,90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89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251,30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646,00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95/а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7 720,50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97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5 820,90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99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5 745,30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396,50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907,30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2 032,40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917,00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637,10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636,30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623,30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634,40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631,00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633,00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2 538,60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2 040,20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2 029,80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2 025,30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1 541,60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3 379,50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3 363,10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5 791,60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Интернациональный пер., 27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578,50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Интернациональный пер., 27/а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666,40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Интернациональный пер., 29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2 098,70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393,40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489,50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395,20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550,40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6/1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412,90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6/2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417,40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6/3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417,50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735,50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623,90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788,10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89,80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94,90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4 543,70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114,80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3 230,20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81,60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118,40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231,80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105,10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183,10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18/1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168,30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82,90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Кооперативный пер., 3/2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429,70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Корнево-Юдинский</w:t>
            </w:r>
            <w:proofErr w:type="spellEnd"/>
            <w:r w:rsidRPr="008423FE">
              <w:rPr>
                <w:rFonts w:ascii="Times New Roman" w:eastAsia="Times New Roman" w:hAnsi="Times New Roman"/>
                <w:lang w:eastAsia="ru-RU"/>
              </w:rPr>
              <w:t xml:space="preserve"> пер., 18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633,40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Корнево-Юдинский</w:t>
            </w:r>
            <w:proofErr w:type="spellEnd"/>
            <w:r w:rsidRPr="008423FE">
              <w:rPr>
                <w:rFonts w:ascii="Times New Roman" w:eastAsia="Times New Roman" w:hAnsi="Times New Roman"/>
                <w:lang w:eastAsia="ru-RU"/>
              </w:rPr>
              <w:t xml:space="preserve"> пер., 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641,00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Корнево-Юдинский</w:t>
            </w:r>
            <w:proofErr w:type="spellEnd"/>
            <w:r w:rsidRPr="008423FE">
              <w:rPr>
                <w:rFonts w:ascii="Times New Roman" w:eastAsia="Times New Roman" w:hAnsi="Times New Roman"/>
                <w:lang w:eastAsia="ru-RU"/>
              </w:rPr>
              <w:t xml:space="preserve"> пер., 20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644,20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415,60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11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3 776,90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4 255,00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7/1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390,60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7/2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107,20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70/а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223,20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9/а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4 364,60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1-ая ул., 71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408,90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Мишутинское</w:t>
            </w:r>
            <w:proofErr w:type="spellEnd"/>
            <w:r w:rsidRPr="008423FE">
              <w:rPr>
                <w:rFonts w:ascii="Times New Roman" w:eastAsia="Times New Roman" w:hAnsi="Times New Roman"/>
                <w:lang w:eastAsia="ru-RU"/>
              </w:rPr>
              <w:t xml:space="preserve"> шоссе д.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136,80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Мишутинское</w:t>
            </w:r>
            <w:proofErr w:type="spellEnd"/>
            <w:r w:rsidRPr="008423FE">
              <w:rPr>
                <w:rFonts w:ascii="Times New Roman" w:eastAsia="Times New Roman" w:hAnsi="Times New Roman"/>
                <w:lang w:eastAsia="ru-RU"/>
              </w:rPr>
              <w:t xml:space="preserve"> шоссе д. 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57,60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Мишутинское</w:t>
            </w:r>
            <w:proofErr w:type="spellEnd"/>
            <w:r w:rsidRPr="008423FE">
              <w:rPr>
                <w:rFonts w:ascii="Times New Roman" w:eastAsia="Times New Roman" w:hAnsi="Times New Roman"/>
                <w:lang w:eastAsia="ru-RU"/>
              </w:rPr>
              <w:t xml:space="preserve"> шоссе д.10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Мишутинское</w:t>
            </w:r>
            <w:proofErr w:type="spellEnd"/>
            <w:r w:rsidRPr="008423FE">
              <w:rPr>
                <w:rFonts w:ascii="Times New Roman" w:eastAsia="Times New Roman" w:hAnsi="Times New Roman"/>
                <w:lang w:eastAsia="ru-RU"/>
              </w:rPr>
              <w:t xml:space="preserve"> шоссе д.14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172,80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2 191,70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11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2 169,00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2 194,50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2 166,70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2 179,20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2 886,20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Пионерская ул., 4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230,70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Потапова ул., 12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152,00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Потапова ул., 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112,30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Потапова ул., 20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181,70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Потапова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207,20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962,00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3 378,20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3 391,00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14а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748,00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3 361,30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271,50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275,80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412,10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971,70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Саурово</w:t>
            </w:r>
            <w:proofErr w:type="spellEnd"/>
            <w:r w:rsidRPr="008423FE">
              <w:rPr>
                <w:rFonts w:ascii="Times New Roman" w:eastAsia="Times New Roman" w:hAnsi="Times New Roman"/>
                <w:lang w:eastAsia="ru-RU"/>
              </w:rPr>
              <w:t xml:space="preserve"> д., 6/а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87,50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773,90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1 110,40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17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636,30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19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635,90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21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1 771,20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337,10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Чкалова ул., 5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402,10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3 138,40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1 360,10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4 493,10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Школьная ул., 16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513,70</w:t>
            </w:r>
          </w:p>
        </w:tc>
      </w:tr>
      <w:tr w:rsidR="008423FE" w:rsidRPr="008423FE" w:rsidTr="00703A2F">
        <w:trPr>
          <w:trHeight w:val="300"/>
        </w:trPr>
        <w:tc>
          <w:tcPr>
            <w:tcW w:w="7938" w:type="dxa"/>
            <w:gridSpan w:val="2"/>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ИТОГО</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145 441,00</w:t>
            </w:r>
          </w:p>
        </w:tc>
      </w:tr>
    </w:tbl>
    <w:p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круглосуточное функционирование аварийной службы в рабочие, выходные и праздничные дни;</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xml:space="preserve">- </w:t>
      </w:r>
      <w:r w:rsidR="00B769D5" w:rsidRPr="00302776">
        <w:rPr>
          <w:rFonts w:ascii="Times New Roman" w:hAnsi="Times New Roman"/>
        </w:rPr>
        <w:t xml:space="preserve">наличие собственной диспетчерской службы с круглосуточным бесплатным номером 8-800 для </w:t>
      </w:r>
      <w:r w:rsidRPr="00302776">
        <w:rPr>
          <w:rFonts w:ascii="Times New Roman" w:hAnsi="Times New Roman"/>
        </w:rPr>
        <w:t>прием</w:t>
      </w:r>
      <w:r w:rsidR="00B769D5" w:rsidRPr="00302776">
        <w:rPr>
          <w:rFonts w:ascii="Times New Roman" w:hAnsi="Times New Roman"/>
        </w:rPr>
        <w:t>а, регистрации</w:t>
      </w:r>
      <w:r w:rsidRPr="00302776">
        <w:rPr>
          <w:rFonts w:ascii="Times New Roman" w:hAnsi="Times New Roman"/>
        </w:rPr>
        <w:t xml:space="preserve"> и передач</w:t>
      </w:r>
      <w:r w:rsidR="00B769D5" w:rsidRPr="00302776">
        <w:rPr>
          <w:rFonts w:ascii="Times New Roman" w:hAnsi="Times New Roman"/>
        </w:rPr>
        <w:t>и</w:t>
      </w:r>
      <w:r w:rsidRPr="00302776">
        <w:rPr>
          <w:rFonts w:ascii="Times New Roman" w:hAnsi="Times New Roman"/>
        </w:rPr>
        <w:t xml:space="preserve"> заявок на исполнение аварийной службы</w:t>
      </w:r>
      <w:r w:rsidR="00D23A19" w:rsidRPr="00302776">
        <w:rPr>
          <w:rFonts w:ascii="Times New Roman" w:hAnsi="Times New Roman"/>
        </w:rPr>
        <w:t xml:space="preserve"> и передачу в подразделения сельских поселений</w:t>
      </w:r>
      <w:r w:rsidRPr="00302776">
        <w:rPr>
          <w:rFonts w:ascii="Times New Roman" w:hAnsi="Times New Roman"/>
        </w:rPr>
        <w:t>, контроль их исполнения;</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организацию работ в экстремальных условиях (непредвиденное отключение электроэнергии в зданиях, пожар, затопление</w:t>
      </w:r>
      <w:r w:rsidR="00D23A19" w:rsidRPr="00302776">
        <w:rPr>
          <w:rFonts w:ascii="Times New Roman" w:hAnsi="Times New Roman"/>
        </w:rPr>
        <w:t xml:space="preserve">, отключение отопления, </w:t>
      </w:r>
      <w:proofErr w:type="spellStart"/>
      <w:r w:rsidR="00D23A19" w:rsidRPr="00302776">
        <w:rPr>
          <w:rFonts w:ascii="Times New Roman" w:hAnsi="Times New Roman"/>
        </w:rPr>
        <w:t>гвс</w:t>
      </w:r>
      <w:proofErr w:type="spellEnd"/>
      <w:r w:rsidR="00D23A19" w:rsidRPr="00302776">
        <w:rPr>
          <w:rFonts w:ascii="Times New Roman" w:hAnsi="Times New Roman"/>
        </w:rPr>
        <w:t xml:space="preserve">, </w:t>
      </w:r>
      <w:proofErr w:type="spellStart"/>
      <w:r w:rsidR="00D23A19" w:rsidRPr="00302776">
        <w:rPr>
          <w:rFonts w:ascii="Times New Roman" w:hAnsi="Times New Roman"/>
        </w:rPr>
        <w:t>хвс</w:t>
      </w:r>
      <w:proofErr w:type="spellEnd"/>
      <w:r w:rsidRPr="00302776">
        <w:rPr>
          <w:rFonts w:ascii="Times New Roman" w:hAnsi="Times New Roman"/>
        </w:rPr>
        <w:t xml:space="preserve"> и т.п.);</w:t>
      </w:r>
    </w:p>
    <w:p w:rsidR="00E83CA4" w:rsidRPr="00302776" w:rsidRDefault="0050445A" w:rsidP="00E83CA4">
      <w:pPr>
        <w:spacing w:after="0" w:line="240" w:lineRule="auto"/>
        <w:ind w:right="-284"/>
        <w:jc w:val="both"/>
        <w:rPr>
          <w:rFonts w:ascii="Times New Roman" w:hAnsi="Times New Roman"/>
        </w:rPr>
      </w:pPr>
      <w:r w:rsidRPr="00302776">
        <w:rPr>
          <w:rFonts w:ascii="Times New Roman" w:hAnsi="Times New Roman"/>
        </w:rPr>
        <w:t>- наличие а</w:t>
      </w:r>
      <w:r w:rsidR="00E83CA4" w:rsidRPr="00302776">
        <w:rPr>
          <w:rFonts w:ascii="Times New Roman" w:hAnsi="Times New Roman"/>
        </w:rPr>
        <w:t>варийн</w:t>
      </w:r>
      <w:r w:rsidRPr="00302776">
        <w:rPr>
          <w:rFonts w:ascii="Times New Roman" w:hAnsi="Times New Roman"/>
        </w:rPr>
        <w:t>ой</w:t>
      </w:r>
      <w:r w:rsidR="00E83CA4" w:rsidRPr="00302776">
        <w:rPr>
          <w:rFonts w:ascii="Times New Roman" w:hAnsi="Times New Roman"/>
        </w:rPr>
        <w:t xml:space="preserve"> служб</w:t>
      </w:r>
      <w:r w:rsidRPr="00302776">
        <w:rPr>
          <w:rFonts w:ascii="Times New Roman" w:hAnsi="Times New Roman"/>
        </w:rPr>
        <w:t xml:space="preserve">ы, которая </w:t>
      </w:r>
      <w:r w:rsidR="00E83CA4" w:rsidRPr="00302776">
        <w:rPr>
          <w:rFonts w:ascii="Times New Roman" w:hAnsi="Times New Roman"/>
        </w:rPr>
        <w:t>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w:t>
      </w:r>
      <w:r w:rsidRPr="00302776">
        <w:rPr>
          <w:rFonts w:ascii="Times New Roman" w:hAnsi="Times New Roman"/>
        </w:rPr>
        <w:t xml:space="preserve">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Павловский Посад Московской области</w:t>
      </w:r>
      <w:r w:rsidR="00E83CA4" w:rsidRPr="00302776">
        <w:rPr>
          <w:rFonts w:ascii="Times New Roman" w:hAnsi="Times New Roman"/>
        </w:rPr>
        <w:t>.</w:t>
      </w:r>
      <w:r w:rsidR="00D23A19" w:rsidRPr="00302776">
        <w:rPr>
          <w:rFonts w:ascii="Times New Roman" w:hAnsi="Times New Roman"/>
        </w:rPr>
        <w:t xml:space="preserve"> Обязательное наличие вакуумной машины, автогидроподъемника, трактора, экскаватора, мотопомпы, компрессора для промывки и </w:t>
      </w:r>
      <w:proofErr w:type="spellStart"/>
      <w:r w:rsidR="00D23A19" w:rsidRPr="00302776">
        <w:rPr>
          <w:rFonts w:ascii="Times New Roman" w:hAnsi="Times New Roman"/>
        </w:rPr>
        <w:t>опрессовки</w:t>
      </w:r>
      <w:proofErr w:type="spellEnd"/>
      <w:r w:rsidR="00D23A19" w:rsidRPr="00302776">
        <w:rPr>
          <w:rFonts w:ascii="Times New Roman" w:hAnsi="Times New Roman"/>
        </w:rPr>
        <w:t xml:space="preserve"> МКД, газонокосилки и т.д.</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w:t>
      </w:r>
      <w:r w:rsidR="00DB566E" w:rsidRPr="00302776">
        <w:rPr>
          <w:rFonts w:ascii="Times New Roman" w:eastAsia="MS Mincho" w:hAnsi="Times New Roman"/>
        </w:rPr>
        <w:t>согласно законодательству РФ</w:t>
      </w:r>
      <w:r w:rsidRPr="00302776">
        <w:rPr>
          <w:rFonts w:ascii="Times New Roman" w:eastAsia="MS Mincho" w:hAnsi="Times New Roman"/>
        </w:rPr>
        <w:t>.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выписанных согласно нарушений обслуживания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Контракта и суммы штрафных санкций государственных надзорных органов Заказчиком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rsidR="00D23A19" w:rsidRPr="00302776" w:rsidRDefault="00D23A19" w:rsidP="00387460">
      <w:pPr>
        <w:spacing w:after="0" w:line="240" w:lineRule="auto"/>
        <w:ind w:right="-284"/>
        <w:jc w:val="both"/>
        <w:rPr>
          <w:rFonts w:ascii="Times New Roman" w:hAnsi="Times New Roman"/>
        </w:rPr>
      </w:pPr>
    </w:p>
    <w:p w:rsidR="00D23A19" w:rsidRPr="00302776" w:rsidRDefault="00D23A19" w:rsidP="00387460">
      <w:pPr>
        <w:spacing w:after="0" w:line="240" w:lineRule="auto"/>
        <w:ind w:right="-284"/>
        <w:jc w:val="both"/>
        <w:rPr>
          <w:rFonts w:ascii="Times New Roman" w:hAnsi="Times New Roman"/>
        </w:rPr>
      </w:pPr>
    </w:p>
    <w:p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1170E"/>
    <w:rsid w:val="00031664"/>
    <w:rsid w:val="00047830"/>
    <w:rsid w:val="00063982"/>
    <w:rsid w:val="000703E2"/>
    <w:rsid w:val="00074F65"/>
    <w:rsid w:val="000778B5"/>
    <w:rsid w:val="0008108A"/>
    <w:rsid w:val="000925BF"/>
    <w:rsid w:val="0009779F"/>
    <w:rsid w:val="000A6B1E"/>
    <w:rsid w:val="000C0387"/>
    <w:rsid w:val="000D3706"/>
    <w:rsid w:val="000D5BCF"/>
    <w:rsid w:val="000E37F3"/>
    <w:rsid w:val="000F39AD"/>
    <w:rsid w:val="001173A9"/>
    <w:rsid w:val="0013219A"/>
    <w:rsid w:val="0015558D"/>
    <w:rsid w:val="00163453"/>
    <w:rsid w:val="00173FA7"/>
    <w:rsid w:val="001A6E85"/>
    <w:rsid w:val="001B720F"/>
    <w:rsid w:val="001F41B7"/>
    <w:rsid w:val="00202F23"/>
    <w:rsid w:val="002063AE"/>
    <w:rsid w:val="0023020F"/>
    <w:rsid w:val="0024211F"/>
    <w:rsid w:val="002B2D34"/>
    <w:rsid w:val="00302776"/>
    <w:rsid w:val="00304DAC"/>
    <w:rsid w:val="0031604D"/>
    <w:rsid w:val="00316C70"/>
    <w:rsid w:val="00324C0E"/>
    <w:rsid w:val="003563E9"/>
    <w:rsid w:val="0037449C"/>
    <w:rsid w:val="003802A9"/>
    <w:rsid w:val="00386964"/>
    <w:rsid w:val="00387460"/>
    <w:rsid w:val="003D650F"/>
    <w:rsid w:val="003E5363"/>
    <w:rsid w:val="003E716E"/>
    <w:rsid w:val="003F3392"/>
    <w:rsid w:val="0041345B"/>
    <w:rsid w:val="0043477E"/>
    <w:rsid w:val="0044720E"/>
    <w:rsid w:val="00453480"/>
    <w:rsid w:val="0047155E"/>
    <w:rsid w:val="00482F87"/>
    <w:rsid w:val="004855A3"/>
    <w:rsid w:val="004B0AF5"/>
    <w:rsid w:val="004B2784"/>
    <w:rsid w:val="004C04B2"/>
    <w:rsid w:val="004C63A5"/>
    <w:rsid w:val="004E0B04"/>
    <w:rsid w:val="0050445A"/>
    <w:rsid w:val="00521A86"/>
    <w:rsid w:val="00526A17"/>
    <w:rsid w:val="00537490"/>
    <w:rsid w:val="00541956"/>
    <w:rsid w:val="0057644F"/>
    <w:rsid w:val="005C13F8"/>
    <w:rsid w:val="005C4120"/>
    <w:rsid w:val="005E032A"/>
    <w:rsid w:val="00631475"/>
    <w:rsid w:val="006738AA"/>
    <w:rsid w:val="00690759"/>
    <w:rsid w:val="00691D8A"/>
    <w:rsid w:val="006C4FCA"/>
    <w:rsid w:val="006E7852"/>
    <w:rsid w:val="006F684D"/>
    <w:rsid w:val="0071032B"/>
    <w:rsid w:val="0071400B"/>
    <w:rsid w:val="007167D5"/>
    <w:rsid w:val="00736FDA"/>
    <w:rsid w:val="007618D5"/>
    <w:rsid w:val="00774EA9"/>
    <w:rsid w:val="007C6A63"/>
    <w:rsid w:val="007E59CE"/>
    <w:rsid w:val="007E7EB1"/>
    <w:rsid w:val="007F219A"/>
    <w:rsid w:val="007F2D12"/>
    <w:rsid w:val="00813A16"/>
    <w:rsid w:val="00814C7D"/>
    <w:rsid w:val="00816F97"/>
    <w:rsid w:val="00834D42"/>
    <w:rsid w:val="00835A79"/>
    <w:rsid w:val="00835BFE"/>
    <w:rsid w:val="008423FE"/>
    <w:rsid w:val="00856009"/>
    <w:rsid w:val="00864888"/>
    <w:rsid w:val="0086737A"/>
    <w:rsid w:val="00881AE8"/>
    <w:rsid w:val="008950FE"/>
    <w:rsid w:val="008A0909"/>
    <w:rsid w:val="008A38A0"/>
    <w:rsid w:val="008A5CFF"/>
    <w:rsid w:val="009130A7"/>
    <w:rsid w:val="0092255F"/>
    <w:rsid w:val="00937085"/>
    <w:rsid w:val="00945F08"/>
    <w:rsid w:val="00950470"/>
    <w:rsid w:val="009577AB"/>
    <w:rsid w:val="00965713"/>
    <w:rsid w:val="00965CAD"/>
    <w:rsid w:val="009851B0"/>
    <w:rsid w:val="009D5754"/>
    <w:rsid w:val="009F01BE"/>
    <w:rsid w:val="00A3769C"/>
    <w:rsid w:val="00A57CB9"/>
    <w:rsid w:val="00A706A7"/>
    <w:rsid w:val="00A7149C"/>
    <w:rsid w:val="00A71A80"/>
    <w:rsid w:val="00AB4068"/>
    <w:rsid w:val="00AD5267"/>
    <w:rsid w:val="00AF3C5B"/>
    <w:rsid w:val="00AF72AA"/>
    <w:rsid w:val="00B30A25"/>
    <w:rsid w:val="00B34859"/>
    <w:rsid w:val="00B709A7"/>
    <w:rsid w:val="00B75B5F"/>
    <w:rsid w:val="00B769D5"/>
    <w:rsid w:val="00B82B12"/>
    <w:rsid w:val="00C25C61"/>
    <w:rsid w:val="00C4187D"/>
    <w:rsid w:val="00C92E8F"/>
    <w:rsid w:val="00CC2391"/>
    <w:rsid w:val="00CC2CFF"/>
    <w:rsid w:val="00CE3367"/>
    <w:rsid w:val="00CE76EC"/>
    <w:rsid w:val="00CF216B"/>
    <w:rsid w:val="00CF6D39"/>
    <w:rsid w:val="00CF77F1"/>
    <w:rsid w:val="00D11FD9"/>
    <w:rsid w:val="00D23A19"/>
    <w:rsid w:val="00D25BAB"/>
    <w:rsid w:val="00D46B40"/>
    <w:rsid w:val="00D76259"/>
    <w:rsid w:val="00D76FF3"/>
    <w:rsid w:val="00D81B86"/>
    <w:rsid w:val="00DB566E"/>
    <w:rsid w:val="00DC1954"/>
    <w:rsid w:val="00DE609D"/>
    <w:rsid w:val="00E02FE3"/>
    <w:rsid w:val="00E425C1"/>
    <w:rsid w:val="00E52CDE"/>
    <w:rsid w:val="00E53B5E"/>
    <w:rsid w:val="00E60CBF"/>
    <w:rsid w:val="00E64F4B"/>
    <w:rsid w:val="00E83CA4"/>
    <w:rsid w:val="00E8746C"/>
    <w:rsid w:val="00EE787C"/>
    <w:rsid w:val="00EF102E"/>
    <w:rsid w:val="00F42B59"/>
    <w:rsid w:val="00F56ED8"/>
    <w:rsid w:val="00F749FB"/>
    <w:rsid w:val="00F83B40"/>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6CAACF-8BCE-4D87-B3DF-0C0C0EDF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48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2834</Words>
  <Characters>19719</Characters>
  <Application>Microsoft Office Word</Application>
  <DocSecurity>0</DocSecurity>
  <Lines>164</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RePack by Diakov</cp:lastModifiedBy>
  <cp:revision>27</cp:revision>
  <cp:lastPrinted>2020-07-22T13:03:00Z</cp:lastPrinted>
  <dcterms:created xsi:type="dcterms:W3CDTF">2017-11-28T08:49:00Z</dcterms:created>
  <dcterms:modified xsi:type="dcterms:W3CDTF">2020-12-28T07:30:00Z</dcterms:modified>
</cp:coreProperties>
</file>