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01.71.03.02.07.01.02.02</w:t>
            </w:r>
            <w:r w:rsidR="00B924CB">
              <w:rPr>
                <w:b/>
              </w:rPr>
              <w:t xml:space="preserve"> / </w:t>
            </w:r>
            <w:r w:rsidR="00B924CB">
              <w:t>32.30.14.119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Бодибар</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01.06.34.02</w:t>
            </w:r>
            <w:r w:rsidR="00B924CB">
              <w:rPr>
                <w:b/>
              </w:rPr>
              <w:t xml:space="preserve"> / </w:t>
            </w:r>
            <w:r w:rsidR="00B924CB">
              <w:t>32.30.14.117</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Гантель неопреновая</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01.71.03.02.07.01.07</w:t>
            </w:r>
            <w:r w:rsidR="00B924CB">
              <w:rPr>
                <w:b/>
              </w:rPr>
              <w:t xml:space="preserve"> / </w:t>
            </w:r>
            <w:r w:rsidR="00B924CB">
              <w:t>32.30.14.111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Коврик гимнастический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01.06.11.08</w:t>
            </w:r>
            <w:r w:rsidR="00B924CB">
              <w:rPr>
                <w:b/>
              </w:rPr>
              <w:t xml:space="preserve"> / </w:t>
            </w:r>
            <w:r w:rsidR="00B924CB">
              <w:t>32.30.14.112</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Мяч гимнастический глянцевый</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01.06.63</w:t>
            </w:r>
            <w:r w:rsidR="00B924CB">
              <w:rPr>
                <w:b/>
              </w:rPr>
              <w:t xml:space="preserve"> / </w:t>
            </w:r>
            <w:r w:rsidR="00B924CB">
              <w:t>32.30.14.117</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Набор шаров для игры в петанк</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01.06.11.14</w:t>
            </w:r>
            <w:r w:rsidR="00B924CB">
              <w:rPr>
                <w:b/>
              </w:rPr>
              <w:t xml:space="preserve"> / </w:t>
            </w:r>
            <w:r w:rsidR="00B924CB">
              <w:t>32.30.14.129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Степ платформа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Закупка спортивного инвентаря</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Бодибар</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Гантель неопреновая</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Коврик гимнастический</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Мяч гимнастический глянцевый</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Набор шаров для игры в петанк</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Степ платформа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25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закупкиа спортивного инвентаря</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(Закупка спортивного инвентаря)</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142816, Московская обл., г.о.Ступино, д.Соколова Пустынь, территория Сосновый бор, корпус 10</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Закупка спортивного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закупкиа спортивного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Закупка спортивного инвентаря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20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20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Закупка спортивного инвентаря</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097631-21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