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5E" w:rsidRPr="00DA2376" w:rsidRDefault="00354A5E" w:rsidP="00354A5E">
      <w:pPr>
        <w:pageBreakBefore/>
        <w:suppressAutoHyphens/>
        <w:spacing w:after="0" w:line="240" w:lineRule="auto"/>
        <w:ind w:firstLine="56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DA2376">
        <w:rPr>
          <w:rFonts w:ascii="Times New Roman" w:eastAsia="Calibri" w:hAnsi="Times New Roman"/>
          <w:sz w:val="24"/>
          <w:szCs w:val="24"/>
          <w:lang w:eastAsia="ar-SA"/>
        </w:rPr>
        <w:t>Приложение</w:t>
      </w:r>
      <w:r>
        <w:rPr>
          <w:rFonts w:ascii="Times New Roman" w:eastAsia="Calibri" w:hAnsi="Times New Roman"/>
          <w:sz w:val="24"/>
          <w:szCs w:val="24"/>
          <w:lang w:eastAsia="ar-SA"/>
        </w:rPr>
        <w:t>5</w:t>
      </w:r>
      <w:r w:rsidRPr="00DA2376">
        <w:rPr>
          <w:rFonts w:ascii="Times New Roman" w:eastAsia="Calibri" w:hAnsi="Times New Roman"/>
          <w:sz w:val="24"/>
          <w:szCs w:val="24"/>
          <w:lang w:eastAsia="ar-SA"/>
        </w:rPr>
        <w:t xml:space="preserve"> к договору</w:t>
      </w:r>
    </w:p>
    <w:p w:rsidR="00354A5E" w:rsidRPr="00DA2376" w:rsidRDefault="00354A5E" w:rsidP="00354A5E">
      <w:pPr>
        <w:suppressAutoHyphens/>
        <w:spacing w:before="180" w:after="0" w:line="240" w:lineRule="auto"/>
        <w:ind w:firstLine="562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DA2376">
        <w:rPr>
          <w:rFonts w:ascii="Times New Roman" w:eastAsia="Calibri" w:hAnsi="Times New Roman"/>
          <w:sz w:val="24"/>
          <w:szCs w:val="24"/>
          <w:lang w:eastAsia="ar-SA"/>
        </w:rPr>
        <w:t>от«____» ___________ 20___г. № ___________</w:t>
      </w:r>
    </w:p>
    <w:p w:rsidR="00354A5E" w:rsidRDefault="00354A5E" w:rsidP="003845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55D" w:rsidRDefault="0038455D" w:rsidP="0038455D">
      <w:pPr>
        <w:spacing w:after="0"/>
        <w:jc w:val="center"/>
        <w:rPr>
          <w:rFonts w:eastAsia="Calibri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:rsidR="0038455D" w:rsidRDefault="0038455D" w:rsidP="0038455D">
      <w:pPr>
        <w:spacing w:after="0"/>
        <w:rPr>
          <w:sz w:val="24"/>
          <w:szCs w:val="24"/>
        </w:rPr>
      </w:pPr>
    </w:p>
    <w:p w:rsidR="00CE5002" w:rsidRPr="00CE5002" w:rsidRDefault="00CE5002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5002">
        <w:rPr>
          <w:rFonts w:ascii="Times New Roman" w:hAnsi="Times New Roman"/>
          <w:b/>
          <w:sz w:val="24"/>
          <w:szCs w:val="24"/>
        </w:rPr>
        <w:t xml:space="preserve">1. Наименование и адрес Заказчика. </w:t>
      </w:r>
    </w:p>
    <w:p w:rsidR="00CE5002" w:rsidRPr="00CE5002" w:rsidRDefault="00CE5002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Полное наименование: Государственное бюджетное учреждение социального обеспечения Московской области «Комплексный центр социального    обслуживания  и реабилитации «Оптимист».</w:t>
      </w:r>
    </w:p>
    <w:p w:rsidR="00CE5002" w:rsidRPr="00CE5002" w:rsidRDefault="00CE5002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Сокращенное наименование: ГБУСО МО «Комплексный центр социального обслуживания и реабилитации «Оптимист»</w:t>
      </w:r>
    </w:p>
    <w:p w:rsidR="00CE5002" w:rsidRPr="00CE5002" w:rsidRDefault="00CE5002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Юридический и фактический адрес: 141304, Московская область, г. Сергиев Посад, пр-т Красной Армии, д. 94/2</w:t>
      </w:r>
    </w:p>
    <w:p w:rsidR="00CE5002" w:rsidRPr="00CE5002" w:rsidRDefault="00CE5002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CE5002">
        <w:rPr>
          <w:rFonts w:ascii="Times New Roman" w:hAnsi="Times New Roman"/>
          <w:sz w:val="24"/>
          <w:szCs w:val="24"/>
        </w:rPr>
        <w:t xml:space="preserve">    Адрес электронной почты: </w:t>
      </w:r>
      <w:proofErr w:type="spellStart"/>
      <w:r w:rsidRPr="00CE5002">
        <w:rPr>
          <w:rFonts w:ascii="Times New Roman" w:hAnsi="Times New Roman"/>
          <w:lang w:val="en-US"/>
        </w:rPr>
        <w:t>kcsor</w:t>
      </w:r>
      <w:proofErr w:type="spellEnd"/>
      <w:r w:rsidRPr="00CE5002">
        <w:rPr>
          <w:rFonts w:ascii="Times New Roman" w:hAnsi="Times New Roman"/>
        </w:rPr>
        <w:t>.</w:t>
      </w:r>
      <w:r w:rsidRPr="00CE5002">
        <w:rPr>
          <w:rFonts w:ascii="Times New Roman" w:hAnsi="Times New Roman"/>
          <w:lang w:val="en-US"/>
        </w:rPr>
        <w:t>optimist</w:t>
      </w:r>
      <w:r w:rsidRPr="00CE5002">
        <w:rPr>
          <w:rFonts w:ascii="Times New Roman" w:hAnsi="Times New Roman"/>
        </w:rPr>
        <w:t>@</w:t>
      </w:r>
      <w:proofErr w:type="spellStart"/>
      <w:r w:rsidRPr="00CE5002">
        <w:rPr>
          <w:rFonts w:ascii="Times New Roman" w:hAnsi="Times New Roman"/>
          <w:lang w:val="en-US"/>
        </w:rPr>
        <w:t>mosreg</w:t>
      </w:r>
      <w:proofErr w:type="spellEnd"/>
      <w:r w:rsidRPr="00CE5002">
        <w:rPr>
          <w:rFonts w:ascii="Times New Roman" w:hAnsi="Times New Roman"/>
        </w:rPr>
        <w:t>.</w:t>
      </w:r>
      <w:proofErr w:type="spellStart"/>
      <w:r w:rsidRPr="00CE5002">
        <w:rPr>
          <w:rFonts w:ascii="Times New Roman" w:hAnsi="Times New Roman"/>
          <w:lang w:val="en-US"/>
        </w:rPr>
        <w:t>ru</w:t>
      </w:r>
      <w:proofErr w:type="spellEnd"/>
    </w:p>
    <w:p w:rsidR="0038455D" w:rsidRDefault="0038455D" w:rsidP="00A45330">
      <w:pPr>
        <w:widowControl w:val="0"/>
        <w:autoSpaceDE w:val="0"/>
        <w:autoSpaceDN w:val="0"/>
        <w:adjustRightInd w:val="0"/>
        <w:spacing w:after="0"/>
        <w:ind w:left="567"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Источник финансирования. </w:t>
      </w:r>
    </w:p>
    <w:p w:rsidR="0038455D" w:rsidRPr="0055773E" w:rsidRDefault="0038455D" w:rsidP="00A45330">
      <w:pPr>
        <w:widowControl w:val="0"/>
        <w:autoSpaceDE w:val="0"/>
        <w:autoSpaceDN w:val="0"/>
        <w:adjustRightInd w:val="0"/>
        <w:spacing w:after="0"/>
        <w:ind w:left="567" w:firstLine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31174" w:rsidRPr="00931174">
        <w:rPr>
          <w:rFonts w:ascii="Times New Roman" w:hAnsi="Times New Roman"/>
          <w:sz w:val="24"/>
          <w:szCs w:val="24"/>
        </w:rPr>
        <w:t>За счет средств, полученных при осуществлении иной приносящей доход деятельности от физических лиц, юридических лиц.</w:t>
      </w:r>
    </w:p>
    <w:p w:rsidR="0038455D" w:rsidRDefault="0038455D" w:rsidP="00A45330">
      <w:pPr>
        <w:widowControl w:val="0"/>
        <w:autoSpaceDE w:val="0"/>
        <w:autoSpaceDN w:val="0"/>
        <w:adjustRightInd w:val="0"/>
        <w:spacing w:after="0"/>
        <w:ind w:left="567"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Адрес поставки товаров. </w:t>
      </w:r>
    </w:p>
    <w:p w:rsidR="00DA490E" w:rsidRDefault="0038455D" w:rsidP="00DA490E">
      <w:pPr>
        <w:widowControl w:val="0"/>
        <w:autoSpaceDE w:val="0"/>
        <w:autoSpaceDN w:val="0"/>
        <w:adjustRightInd w:val="0"/>
        <w:spacing w:after="0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A490E" w:rsidRPr="00DA490E">
        <w:rPr>
          <w:rFonts w:ascii="Times New Roman" w:hAnsi="Times New Roman"/>
          <w:sz w:val="24"/>
          <w:szCs w:val="24"/>
        </w:rPr>
        <w:t xml:space="preserve">141300, Московская </w:t>
      </w:r>
      <w:proofErr w:type="spellStart"/>
      <w:proofErr w:type="gramStart"/>
      <w:r w:rsidR="00DA490E" w:rsidRPr="00DA490E"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 w:rsidR="00DA490E" w:rsidRPr="00DA490E">
        <w:rPr>
          <w:rFonts w:ascii="Times New Roman" w:hAnsi="Times New Roman"/>
          <w:sz w:val="24"/>
          <w:szCs w:val="24"/>
        </w:rPr>
        <w:t>, Сергиев Посад г, Проспект Красной Армии, 94/2</w:t>
      </w:r>
    </w:p>
    <w:p w:rsidR="0018019B" w:rsidRDefault="0038455D" w:rsidP="00DA490E">
      <w:pPr>
        <w:widowControl w:val="0"/>
        <w:autoSpaceDE w:val="0"/>
        <w:autoSpaceDN w:val="0"/>
        <w:adjustRightInd w:val="0"/>
        <w:spacing w:after="0"/>
        <w:ind w:left="567"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8455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Перечень поставляемых товаров</w:t>
      </w:r>
    </w:p>
    <w:tbl>
      <w:tblPr>
        <w:tblStyle w:val="a3"/>
        <w:tblW w:w="15180" w:type="dxa"/>
        <w:tblInd w:w="804" w:type="dxa"/>
        <w:tblLayout w:type="fixed"/>
        <w:tblLook w:val="04A0" w:firstRow="1" w:lastRow="0" w:firstColumn="1" w:lastColumn="0" w:noHBand="0" w:noVBand="1"/>
      </w:tblPr>
      <w:tblGrid>
        <w:gridCol w:w="567"/>
        <w:gridCol w:w="2281"/>
        <w:gridCol w:w="851"/>
        <w:gridCol w:w="708"/>
        <w:gridCol w:w="6465"/>
        <w:gridCol w:w="15"/>
        <w:gridCol w:w="4293"/>
      </w:tblGrid>
      <w:tr w:rsidR="00AE75F8" w:rsidTr="00AE75F8">
        <w:tc>
          <w:tcPr>
            <w:tcW w:w="567" w:type="dxa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81" w:type="dxa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6480" w:type="dxa"/>
            <w:gridSpan w:val="2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товара</w:t>
            </w:r>
          </w:p>
        </w:tc>
        <w:tc>
          <w:tcPr>
            <w:tcW w:w="4293" w:type="dxa"/>
            <w:vAlign w:val="center"/>
          </w:tcPr>
          <w:p w:rsidR="00AE75F8" w:rsidRDefault="00AE75F8" w:rsidP="003845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Эскиз</w:t>
            </w: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Подушка балансировочная 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0" w:type="dxa"/>
            <w:gridSpan w:val="2"/>
          </w:tcPr>
          <w:p w:rsidR="00BF4C2B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 w:rsidRPr="00BF4C2B">
              <w:rPr>
                <w:rFonts w:ascii="Times New Roman" w:hAnsi="Times New Roman"/>
                <w:sz w:val="24"/>
                <w:szCs w:val="24"/>
              </w:rPr>
              <w:t xml:space="preserve">Балансировочная подушка. Она имеет уникальную нескользящую рифленую поверхность как с одной, так и с другой стороны, что обеспечивает хорошую стимуляцию рецепторов стопы при занятиях босиком. </w:t>
            </w:r>
          </w:p>
          <w:p w:rsidR="00BF4C2B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Состав: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пругий пенный 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  <w:p w:rsidR="00BF4C2B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не менее 50 см</w:t>
            </w:r>
          </w:p>
          <w:p w:rsidR="00BF4C2B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/>
                <w:sz w:val="24"/>
                <w:szCs w:val="24"/>
              </w:rPr>
              <w:t>не менее 41 см</w:t>
            </w:r>
          </w:p>
          <w:p w:rsidR="00AE75F8" w:rsidRPr="008B15FA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</w:p>
        </w:tc>
        <w:tc>
          <w:tcPr>
            <w:tcW w:w="4293" w:type="dxa"/>
          </w:tcPr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0F6D6E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CD5CD" wp14:editId="7782DC02">
                  <wp:extent cx="774065" cy="774065"/>
                  <wp:effectExtent l="0" t="0" r="698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Pr="008B15FA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Полусфера массажная балансировочная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0" w:type="dxa"/>
            <w:gridSpan w:val="2"/>
          </w:tcPr>
          <w:p w:rsidR="00AE75F8" w:rsidRDefault="00AE75F8" w:rsidP="00FF2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Тип: массажная п</w:t>
            </w:r>
            <w:r w:rsidRPr="009E041E">
              <w:rPr>
                <w:rFonts w:ascii="Times New Roman" w:hAnsi="Times New Roman"/>
                <w:sz w:val="24"/>
                <w:szCs w:val="24"/>
              </w:rPr>
              <w:t>олусфера</w:t>
            </w:r>
          </w:p>
          <w:p w:rsidR="00AE75F8" w:rsidRDefault="00AE75F8" w:rsidP="00FF2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D05">
              <w:rPr>
                <w:rFonts w:ascii="Times New Roman" w:hAnsi="Times New Roman"/>
                <w:sz w:val="24"/>
                <w:szCs w:val="24"/>
              </w:rPr>
              <w:t>утон</w:t>
            </w:r>
            <w:proofErr w:type="spellEnd"/>
          </w:p>
          <w:p w:rsidR="00AE75F8" w:rsidRDefault="00AE75F8" w:rsidP="009E041E">
            <w:pPr>
              <w:rPr>
                <w:rFonts w:ascii="Times New Roman" w:hAnsi="Times New Roman"/>
                <w:sz w:val="24"/>
                <w:szCs w:val="24"/>
              </w:rPr>
            </w:pPr>
            <w:r w:rsidRPr="009E041E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9E041E">
              <w:rPr>
                <w:rFonts w:ascii="Times New Roman" w:hAnsi="Times New Roman"/>
                <w:sz w:val="24"/>
                <w:szCs w:val="24"/>
              </w:rPr>
              <w:t>18.5 см</w:t>
            </w:r>
          </w:p>
          <w:p w:rsidR="00AE75F8" w:rsidRPr="008B15FA" w:rsidRDefault="00AE75F8" w:rsidP="00FF2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любой</w:t>
            </w:r>
          </w:p>
        </w:tc>
        <w:tc>
          <w:tcPr>
            <w:tcW w:w="4293" w:type="dxa"/>
          </w:tcPr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0F6D6E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CC5AC0">
                  <wp:extent cx="1200785" cy="1024255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75F8" w:rsidRPr="008B15FA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Мяч массажный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0" w:type="dxa"/>
            <w:gridSpan w:val="2"/>
          </w:tcPr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Тип: мяч массажный</w:t>
            </w: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  <w:r w:rsidRPr="009E041E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не менее </w:t>
            </w:r>
            <w:r w:rsidRPr="009E041E">
              <w:rPr>
                <w:rFonts w:ascii="Times New Roman" w:hAnsi="Times New Roman"/>
                <w:sz w:val="24"/>
                <w:szCs w:val="24"/>
              </w:rPr>
              <w:t>23 см</w:t>
            </w: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любой</w:t>
            </w: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C79853" wp14:editId="692B6FEE">
                  <wp:extent cx="895985" cy="895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75F8" w:rsidRDefault="00AE75F8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из фитнес-резинок (5 </w:t>
            </w: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наборе)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0" w:type="dxa"/>
            <w:gridSpan w:val="2"/>
          </w:tcPr>
          <w:p w:rsidR="00AE75F8" w:rsidRDefault="00AE75F8" w:rsidP="00AE75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Тип: ф</w:t>
            </w:r>
            <w:r w:rsidRPr="00AE75F8">
              <w:rPr>
                <w:rFonts w:ascii="Times New Roman" w:hAnsi="Times New Roman"/>
                <w:sz w:val="24"/>
                <w:szCs w:val="24"/>
              </w:rPr>
              <w:t>итнес-резинка</w:t>
            </w:r>
          </w:p>
          <w:p w:rsidR="00AE75F8" w:rsidRDefault="00AE75F8" w:rsidP="005D4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латекс</w:t>
            </w:r>
          </w:p>
          <w:p w:rsidR="00AE75F8" w:rsidRDefault="00AE75F8" w:rsidP="00AE75F8">
            <w:pPr>
              <w:tabs>
                <w:tab w:val="center" w:pos="313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в ассортименте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E75F8" w:rsidRDefault="00AE75F8" w:rsidP="00AE75F8">
            <w:pPr>
              <w:tabs>
                <w:tab w:val="center" w:pos="313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 упаковке: 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разной силы сопротивления</w:t>
            </w:r>
          </w:p>
          <w:p w:rsidR="00AE75F8" w:rsidRDefault="00AE75F8" w:rsidP="00AE75F8">
            <w:pPr>
              <w:tabs>
                <w:tab w:val="center" w:pos="313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E75F8" w:rsidRDefault="002A2791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B5F05">
                  <wp:extent cx="908685" cy="9023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Амортизатор трубчатый с "защитным рукавом"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0" w:type="dxa"/>
            <w:gridSpan w:val="2"/>
          </w:tcPr>
          <w:p w:rsidR="00F332C3" w:rsidRDefault="00F332C3" w:rsidP="00F332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75F8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 w:rsidRPr="00BF4C2B">
              <w:rPr>
                <w:rFonts w:ascii="Times New Roman" w:hAnsi="Times New Roman"/>
                <w:sz w:val="24"/>
                <w:szCs w:val="24"/>
              </w:rPr>
              <w:t>Эластичные трубчатые амортизаторы различных уровней сопротивления предназначены для тренировки практически всех основных групп мышц, как в условиях тренажерного зала, так и дома. Сопротивление: среднее.</w:t>
            </w:r>
          </w:p>
        </w:tc>
        <w:tc>
          <w:tcPr>
            <w:tcW w:w="4293" w:type="dxa"/>
          </w:tcPr>
          <w:p w:rsidR="00AE75F8" w:rsidRDefault="00F332C3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3A34F">
                  <wp:extent cx="1243965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Отягощения для ног фиксированные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5" w:type="dxa"/>
          </w:tcPr>
          <w:p w:rsidR="00F332C3" w:rsidRDefault="00BF4C2B" w:rsidP="00BF4C2B">
            <w:pPr>
              <w:rPr>
                <w:rFonts w:ascii="Times New Roman" w:hAnsi="Times New Roman"/>
                <w:sz w:val="24"/>
                <w:szCs w:val="24"/>
              </w:rPr>
            </w:pPr>
            <w:r w:rsidRPr="00BF4C2B">
              <w:rPr>
                <w:rFonts w:ascii="Times New Roman" w:hAnsi="Times New Roman"/>
                <w:sz w:val="24"/>
                <w:szCs w:val="24"/>
              </w:rPr>
              <w:t xml:space="preserve">Утяжелитель из </w:t>
            </w:r>
            <w:proofErr w:type="spellStart"/>
            <w:r w:rsidRPr="00BF4C2B">
              <w:rPr>
                <w:rFonts w:ascii="Times New Roman" w:hAnsi="Times New Roman"/>
                <w:sz w:val="24"/>
                <w:szCs w:val="24"/>
              </w:rPr>
              <w:t>неопрена</w:t>
            </w:r>
            <w:proofErr w:type="spellEnd"/>
            <w:r w:rsidRPr="00BF4C2B">
              <w:rPr>
                <w:rFonts w:ascii="Times New Roman" w:hAnsi="Times New Roman"/>
                <w:sz w:val="24"/>
                <w:szCs w:val="24"/>
              </w:rPr>
              <w:t xml:space="preserve"> для физических упражнений. Легко фиксируются на лодыжке благодаря удобной липучке; Наполнит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 - металлический песок. Вес не менее 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0,5кг. Материал: </w:t>
            </w:r>
            <w:proofErr w:type="spellStart"/>
            <w:r w:rsidRPr="00BF4C2B">
              <w:rPr>
                <w:rFonts w:ascii="Times New Roman" w:hAnsi="Times New Roman"/>
                <w:sz w:val="24"/>
                <w:szCs w:val="24"/>
              </w:rPr>
              <w:t>неопрен</w:t>
            </w:r>
            <w:proofErr w:type="spellEnd"/>
            <w:r w:rsidRPr="00BF4C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308" w:type="dxa"/>
            <w:gridSpan w:val="2"/>
          </w:tcPr>
          <w:p w:rsidR="00AE75F8" w:rsidRDefault="00F332C3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D558FF">
                  <wp:extent cx="1078865" cy="1078865"/>
                  <wp:effectExtent l="0" t="0" r="698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Ролик массажный 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5" w:type="dxa"/>
          </w:tcPr>
          <w:p w:rsidR="00F332C3" w:rsidRDefault="00BF4C2B" w:rsidP="005D4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Ролик</w:t>
            </w:r>
            <w:r w:rsidRPr="00BF4C2B">
              <w:rPr>
                <w:rFonts w:ascii="Times New Roman" w:hAnsi="Times New Roman"/>
                <w:sz w:val="24"/>
                <w:szCs w:val="24"/>
              </w:rPr>
              <w:t xml:space="preserve"> для массажа и расслабления мышц после физических нагрузок. Специальное покрытие ролика эффективно воздействует на мышечные узлы, стимулирует кровообращение и снимает напряжение. </w:t>
            </w:r>
            <w:proofErr w:type="gramStart"/>
            <w:r w:rsidRPr="00BF4C2B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proofErr w:type="gramEnd"/>
            <w:r w:rsidRPr="00BF4C2B">
              <w:rPr>
                <w:rFonts w:ascii="Times New Roman" w:hAnsi="Times New Roman"/>
                <w:sz w:val="24"/>
                <w:szCs w:val="24"/>
              </w:rPr>
              <w:t xml:space="preserve"> из лёгких, износостойких материалов. Внутри ролика находится цилиндр из прочного ПВХ, а снаружи – мягкий, приятный на ощупь материал EVA </w:t>
            </w:r>
            <w:r w:rsidR="00F332C3">
              <w:rPr>
                <w:rFonts w:ascii="Times New Roman" w:hAnsi="Times New Roman"/>
                <w:sz w:val="24"/>
                <w:szCs w:val="24"/>
              </w:rPr>
              <w:t xml:space="preserve">Размер: </w:t>
            </w:r>
            <w:r w:rsidR="002D24AC">
              <w:rPr>
                <w:rFonts w:ascii="Times New Roman" w:hAnsi="Times New Roman"/>
                <w:sz w:val="24"/>
                <w:szCs w:val="24"/>
              </w:rPr>
              <w:t>не менее 14*33 см.</w:t>
            </w:r>
          </w:p>
        </w:tc>
        <w:tc>
          <w:tcPr>
            <w:tcW w:w="4308" w:type="dxa"/>
            <w:gridSpan w:val="2"/>
          </w:tcPr>
          <w:p w:rsidR="00AE75F8" w:rsidRDefault="002D24AC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0EE33">
                  <wp:extent cx="975360" cy="12985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F8" w:rsidTr="00AE75F8">
        <w:tc>
          <w:tcPr>
            <w:tcW w:w="567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1" w:type="dxa"/>
            <w:vAlign w:val="center"/>
          </w:tcPr>
          <w:p w:rsidR="00AE75F8" w:rsidRPr="00DA490E" w:rsidRDefault="00AE75F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Коврик для йоги</w:t>
            </w:r>
          </w:p>
        </w:tc>
        <w:tc>
          <w:tcPr>
            <w:tcW w:w="851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A490E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AE75F8" w:rsidRPr="00DA490E" w:rsidRDefault="00AE75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A49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65" w:type="dxa"/>
          </w:tcPr>
          <w:p w:rsidR="000F6D6E" w:rsidRDefault="000F6D6E" w:rsidP="000F6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 коврик</w:t>
            </w:r>
            <w:r w:rsidR="00BF4C2B">
              <w:rPr>
                <w:rFonts w:ascii="Times New Roman" w:hAnsi="Times New Roman"/>
                <w:sz w:val="24"/>
                <w:szCs w:val="24"/>
              </w:rPr>
              <w:t xml:space="preserve"> для йоги</w:t>
            </w:r>
          </w:p>
          <w:p w:rsidR="00AE75F8" w:rsidRDefault="000F6D6E" w:rsidP="000F6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r w:rsidRPr="000F6D6E">
              <w:rPr>
                <w:rFonts w:ascii="Times New Roman" w:hAnsi="Times New Roman"/>
                <w:sz w:val="24"/>
                <w:szCs w:val="24"/>
              </w:rPr>
              <w:t>ПВХ</w:t>
            </w:r>
          </w:p>
          <w:p w:rsidR="000F6D6E" w:rsidRPr="000F6D6E" w:rsidRDefault="000F6D6E" w:rsidP="000F6D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Размер: не менее: длина,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D6E"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0F6D6E" w:rsidRDefault="000F6D6E" w:rsidP="000F6D6E">
            <w:pPr>
              <w:rPr>
                <w:rFonts w:ascii="Times New Roman" w:hAnsi="Times New Roman"/>
                <w:sz w:val="24"/>
                <w:szCs w:val="24"/>
              </w:rPr>
            </w:pPr>
            <w:r w:rsidRPr="000F6D6E">
              <w:rPr>
                <w:rFonts w:ascii="Times New Roman" w:hAnsi="Times New Roman"/>
                <w:sz w:val="24"/>
                <w:szCs w:val="24"/>
              </w:rPr>
              <w:t xml:space="preserve">Размер: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ширина,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D6E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F6D6E" w:rsidRDefault="000F6D6E" w:rsidP="000F6D6E">
            <w:pPr>
              <w:rPr>
                <w:rFonts w:ascii="Times New Roman" w:hAnsi="Times New Roman"/>
                <w:sz w:val="24"/>
                <w:szCs w:val="24"/>
              </w:rPr>
            </w:pPr>
            <w:r w:rsidRPr="000F6D6E">
              <w:rPr>
                <w:rFonts w:ascii="Times New Roman" w:hAnsi="Times New Roman"/>
                <w:sz w:val="24"/>
                <w:szCs w:val="24"/>
              </w:rPr>
              <w:t>Цвет: любой</w:t>
            </w:r>
          </w:p>
        </w:tc>
        <w:tc>
          <w:tcPr>
            <w:tcW w:w="4308" w:type="dxa"/>
            <w:gridSpan w:val="2"/>
          </w:tcPr>
          <w:p w:rsidR="00AE75F8" w:rsidRDefault="000F6D6E" w:rsidP="00AE75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00BDAC">
                  <wp:extent cx="1584960" cy="7315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55D" w:rsidRDefault="0038455D">
      <w:pPr>
        <w:rPr>
          <w:rFonts w:ascii="Times New Roman" w:hAnsi="Times New Roman"/>
          <w:b/>
          <w:sz w:val="24"/>
          <w:szCs w:val="24"/>
        </w:rPr>
      </w:pPr>
    </w:p>
    <w:p w:rsidR="008B15FA" w:rsidRPr="008B15FA" w:rsidRDefault="008B15FA" w:rsidP="00A45330">
      <w:pPr>
        <w:spacing w:after="0" w:line="240" w:lineRule="auto"/>
        <w:ind w:left="567" w:firstLine="284"/>
        <w:jc w:val="both"/>
        <w:rPr>
          <w:rFonts w:ascii="Times New Roman" w:eastAsia="Calibri" w:hAnsi="Times New Roman"/>
          <w:sz w:val="24"/>
          <w:szCs w:val="24"/>
        </w:rPr>
      </w:pPr>
      <w:r w:rsidRPr="008B15FA">
        <w:rPr>
          <w:rFonts w:ascii="Times New Roman" w:eastAsia="Calibri" w:hAnsi="Times New Roman"/>
          <w:snapToGrid w:val="0"/>
          <w:sz w:val="24"/>
          <w:szCs w:val="24"/>
        </w:rPr>
        <w:t>Качество Оборудования должно соответствовать установленным в Российской Федерации государственным стандартам и подтверждаться документами, оформленными в соответствии с требованиями нормативной документации.</w:t>
      </w:r>
    </w:p>
    <w:p w:rsidR="008B15FA" w:rsidRPr="008B15FA" w:rsidRDefault="008B15FA" w:rsidP="00A45330">
      <w:pPr>
        <w:spacing w:after="0" w:line="240" w:lineRule="auto"/>
        <w:ind w:left="567" w:firstLine="284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8B15FA">
        <w:rPr>
          <w:rFonts w:ascii="Times New Roman" w:eastAsia="Calibri" w:hAnsi="Times New Roman"/>
          <w:sz w:val="24"/>
          <w:szCs w:val="24"/>
        </w:rPr>
        <w:t xml:space="preserve">Оборудование должно быть новым (товаром, который не был в употреблении, в ремонте, в том </w:t>
      </w:r>
      <w:proofErr w:type="gramStart"/>
      <w:r w:rsidRPr="008B15FA">
        <w:rPr>
          <w:rFonts w:ascii="Times New Roman" w:eastAsia="Calibri" w:hAnsi="Times New Roman"/>
          <w:sz w:val="24"/>
          <w:szCs w:val="24"/>
        </w:rPr>
        <w:t>числе</w:t>
      </w:r>
      <w:proofErr w:type="gramEnd"/>
      <w:r w:rsidRPr="008B15FA">
        <w:rPr>
          <w:rFonts w:ascii="Times New Roman" w:eastAsia="Calibri" w:hAnsi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не ранее 2020 года выпуска.</w:t>
      </w:r>
    </w:p>
    <w:p w:rsidR="008B15FA" w:rsidRPr="008B15FA" w:rsidRDefault="008B15FA" w:rsidP="00A45330">
      <w:pPr>
        <w:widowControl w:val="0"/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15FA">
        <w:rPr>
          <w:rFonts w:ascii="Times New Roman" w:hAnsi="Times New Roman"/>
          <w:sz w:val="24"/>
          <w:szCs w:val="24"/>
          <w:lang w:eastAsia="ru-RU"/>
        </w:rPr>
        <w:t>Поставщик гарантирует, что Оборудование не имеет дефектов, связанных с конструкцией, материалами или функционированием при штатном использовании Оборудования в соответствии с технической и (или) эксплуатационной документацией производителя (изготовителя) Оборудования.</w:t>
      </w:r>
    </w:p>
    <w:p w:rsidR="008B15FA" w:rsidRPr="008B15FA" w:rsidRDefault="008B15FA" w:rsidP="00A45330">
      <w:pPr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B15FA">
        <w:rPr>
          <w:rFonts w:ascii="Times New Roman" w:hAnsi="Times New Roman"/>
          <w:sz w:val="24"/>
          <w:szCs w:val="24"/>
          <w:lang w:eastAsia="ru-RU"/>
        </w:rPr>
        <w:t>Поставщик обязан при поставке Оборудования предоставить Заказчику документы, подтверждающие его качество (</w:t>
      </w:r>
      <w:r w:rsidRPr="008B15FA">
        <w:rPr>
          <w:rFonts w:ascii="Times New Roman" w:hAnsi="Times New Roman"/>
          <w:snapToGrid w:val="0"/>
          <w:sz w:val="24"/>
          <w:szCs w:val="24"/>
          <w:lang w:eastAsia="ru-RU"/>
        </w:rPr>
        <w:t>копии сертификатов (деклараций) соответствия,</w:t>
      </w:r>
      <w:r w:rsidRPr="008B15FA">
        <w:rPr>
          <w:rFonts w:ascii="Times New Roman" w:hAnsi="Times New Roman"/>
          <w:sz w:val="24"/>
          <w:szCs w:val="24"/>
          <w:lang w:eastAsia="ru-RU"/>
        </w:rPr>
        <w:t xml:space="preserve"> паспорт (сертификат) качества (для товаров Российского производства), инструкцию по эксплуатации (инструкцию пользователя).</w:t>
      </w:r>
      <w:proofErr w:type="gramEnd"/>
    </w:p>
    <w:p w:rsidR="008B15FA" w:rsidRPr="008B15FA" w:rsidRDefault="008B15FA" w:rsidP="008B15FA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15FA" w:rsidRPr="008B15FA" w:rsidRDefault="008B15FA" w:rsidP="009B5E60">
      <w:pPr>
        <w:spacing w:after="0" w:line="240" w:lineRule="auto"/>
        <w:ind w:left="567"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B15FA">
        <w:rPr>
          <w:rFonts w:ascii="Times New Roman" w:hAnsi="Times New Roman"/>
          <w:b/>
          <w:bCs/>
          <w:sz w:val="24"/>
          <w:szCs w:val="24"/>
          <w:lang w:eastAsia="ru-RU"/>
        </w:rPr>
        <w:t>2. Требования к гарантийному сроку товара и (или) объему предоставления гарантий его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:rsidR="008B15FA" w:rsidRPr="008B15FA" w:rsidRDefault="008B15FA" w:rsidP="009B5E60">
      <w:pPr>
        <w:shd w:val="clear" w:color="auto" w:fill="FFFFFF"/>
        <w:spacing w:after="0" w:line="279" w:lineRule="atLeast"/>
        <w:ind w:left="567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>Гарантийный срок поставщика на поставляемое Оборудование должен быть не менее 12 месяцев, с момента подписания акта ввода оборудования в эксплуатацию заказчиком, но не менее срока, установленного производителем.</w:t>
      </w:r>
    </w:p>
    <w:p w:rsidR="008B15FA" w:rsidRPr="008B15FA" w:rsidRDefault="008B15FA" w:rsidP="009B5E60">
      <w:pPr>
        <w:shd w:val="clear" w:color="auto" w:fill="FFFFFF"/>
        <w:spacing w:after="0" w:line="279" w:lineRule="atLeast"/>
        <w:ind w:left="567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Началом гарантийного срока является дата подписания сторонами </w:t>
      </w:r>
      <w:r w:rsidRPr="008B15F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акта приема-передачи Оборудования</w:t>
      </w: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B15FA" w:rsidRPr="008B15FA" w:rsidRDefault="008B15FA" w:rsidP="009B5E60">
      <w:pPr>
        <w:shd w:val="clear" w:color="auto" w:fill="FFFFFF"/>
        <w:spacing w:after="0" w:line="279" w:lineRule="atLeast"/>
        <w:ind w:left="567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Расходы, связанные с исполнением гарантийных обязательств, несет поставщик. </w:t>
      </w:r>
    </w:p>
    <w:p w:rsidR="008B15FA" w:rsidRPr="008B15FA" w:rsidRDefault="008B15FA" w:rsidP="009B5E60">
      <w:pPr>
        <w:shd w:val="clear" w:color="auto" w:fill="FFFFFF"/>
        <w:spacing w:after="0" w:line="279" w:lineRule="atLeast"/>
        <w:ind w:left="567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>Если в период гарантийной эксплуатации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</w:t>
      </w:r>
    </w:p>
    <w:p w:rsidR="008B15FA" w:rsidRPr="008B15FA" w:rsidRDefault="008B15FA" w:rsidP="009B5E60">
      <w:pPr>
        <w:shd w:val="clear" w:color="auto" w:fill="FFFFFF"/>
        <w:spacing w:after="0" w:line="279" w:lineRule="atLeast"/>
        <w:ind w:left="567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15FA"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в пределах гарантийного срока в поставленном Оборудовании дефектов, устранение которых требует ремонта, поставщик обязан заменить такой товар или восстановить его своими силами в срок 14 (Четырнадцать) календарных дней с момента извещения заказчиком поставщика об обнаружении в поставленном товаре дефектов.</w:t>
      </w:r>
    </w:p>
    <w:p w:rsidR="008B15FA" w:rsidRPr="008B15FA" w:rsidRDefault="008B15FA" w:rsidP="009B5E60">
      <w:pPr>
        <w:spacing w:after="0" w:line="240" w:lineRule="auto"/>
        <w:ind w:left="567" w:firstLine="284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8B15FA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В случае недопоставки и (или) поставки некачественного Оборудования Заказчик вправе потребовать от Поставщика осуществить замену поставленного некачественного Оборудования Оборудованием надлежащего качества, и (или) потребовать осуществить поставку недостающего Товара в течение 10 (Десяти) дней </w:t>
      </w:r>
      <w:proofErr w:type="gramStart"/>
      <w:r w:rsidRPr="008B15FA">
        <w:rPr>
          <w:rFonts w:ascii="Times New Roman" w:hAnsi="Times New Roman"/>
          <w:snapToGrid w:val="0"/>
          <w:sz w:val="24"/>
          <w:szCs w:val="24"/>
          <w:lang w:eastAsia="ru-RU"/>
        </w:rPr>
        <w:t>с даты получения</w:t>
      </w:r>
      <w:proofErr w:type="gramEnd"/>
      <w:r w:rsidRPr="008B15FA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претензии Заказчика.</w:t>
      </w:r>
    </w:p>
    <w:p w:rsidR="008B15FA" w:rsidRPr="008B15FA" w:rsidRDefault="008B15FA" w:rsidP="009B5E60">
      <w:pPr>
        <w:spacing w:after="0" w:line="240" w:lineRule="auto"/>
        <w:ind w:left="567" w:firstLine="709"/>
        <w:jc w:val="both"/>
        <w:rPr>
          <w:rFonts w:ascii="Times New Roman" w:hAnsi="Times New Roman"/>
          <w:iCs/>
          <w:snapToGrid w:val="0"/>
          <w:sz w:val="24"/>
          <w:szCs w:val="24"/>
          <w:lang w:eastAsia="ru-RU"/>
        </w:rPr>
      </w:pPr>
      <w:r w:rsidRPr="008B15FA">
        <w:rPr>
          <w:rFonts w:ascii="Times New Roman" w:hAnsi="Times New Roman"/>
          <w:iCs/>
          <w:snapToGrid w:val="0"/>
          <w:sz w:val="24"/>
          <w:szCs w:val="24"/>
          <w:lang w:eastAsia="ru-RU"/>
        </w:rPr>
        <w:t>Убытки, возникшие в связи с заменой Оборудования, несет Поставщик.</w:t>
      </w:r>
    </w:p>
    <w:p w:rsidR="008B15FA" w:rsidRDefault="008B15F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horzAnchor="page" w:tblpX="994" w:tblpY="74"/>
        <w:tblOverlap w:val="never"/>
        <w:tblW w:w="14601" w:type="dxa"/>
        <w:tblLook w:val="04A0" w:firstRow="1" w:lastRow="0" w:firstColumn="1" w:lastColumn="0" w:noHBand="0" w:noVBand="1"/>
      </w:tblPr>
      <w:tblGrid>
        <w:gridCol w:w="6804"/>
        <w:gridCol w:w="7797"/>
      </w:tblGrid>
      <w:tr w:rsidR="008B15FA" w:rsidRPr="008B15FA" w:rsidTr="009B5E60">
        <w:trPr>
          <w:cantSplit/>
          <w:trHeight w:val="17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B15FA" w:rsidRPr="008B15FA" w:rsidRDefault="008B15FA" w:rsidP="008B15F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lastRenderedPageBreak/>
              <w:t>Поставщик</w:t>
            </w:r>
            <w:proofErr w:type="spellEnd"/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B15FA" w:rsidRPr="008B15FA" w:rsidRDefault="008B15FA" w:rsidP="008B15FA">
            <w:pPr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8B15FA" w:rsidRPr="008B15FA" w:rsidRDefault="008B15FA" w:rsidP="008B15F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Заказчик</w:t>
            </w:r>
            <w:proofErr w:type="spellEnd"/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8B15FA" w:rsidRPr="008B15FA" w:rsidRDefault="008B15FA" w:rsidP="008B15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B15FA" w:rsidRPr="008B15FA" w:rsidTr="009B5E60">
        <w:trPr>
          <w:cantSplit/>
          <w:trHeight w:val="176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B15FA" w:rsidRPr="008B15FA" w:rsidRDefault="008B15FA" w:rsidP="008B15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5FA" w:rsidRPr="008B15FA" w:rsidRDefault="008B15FA" w:rsidP="008B15FA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директор</w:t>
            </w:r>
            <w:proofErr w:type="spellEnd"/>
          </w:p>
        </w:tc>
      </w:tr>
      <w:tr w:rsidR="008B15FA" w:rsidRPr="008B15FA" w:rsidTr="009B5E60">
        <w:trPr>
          <w:cantSplit/>
          <w:trHeight w:val="1147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B15FA" w:rsidRPr="008B15FA" w:rsidRDefault="008B15FA" w:rsidP="008B15F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  <w:r w:rsidRPr="008B15FA">
              <w:rPr>
                <w:rFonts w:ascii="&amp;quot" w:eastAsia="Calibri" w:hAnsi="&amp;quot"/>
                <w:color w:val="000000"/>
                <w:sz w:val="24"/>
                <w:szCs w:val="24"/>
                <w:lang w:val="en-US"/>
              </w:rPr>
              <w:t xml:space="preserve"> __________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/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________________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8B15FA" w:rsidRPr="008B15FA" w:rsidRDefault="008B15FA" w:rsidP="008B15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«    » __________ 20  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8B15FA" w:rsidRPr="008B15FA" w:rsidRDefault="008B15FA" w:rsidP="008B15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5FA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</w:rPr>
              <w:t>ГБУСО МО «Комплексный центр социального обслуживания и реабилитации «Оптимист»</w:t>
            </w:r>
            <w:r w:rsidRPr="008B15FA">
              <w:rPr>
                <w:rFonts w:ascii="&amp;quot" w:eastAsia="Calibri" w:hAnsi="&amp;quot"/>
                <w:color w:val="000000"/>
                <w:sz w:val="24"/>
                <w:szCs w:val="24"/>
              </w:rPr>
              <w:t>__________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О. Л. Солнышкина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8B15FA" w:rsidRPr="008B15FA" w:rsidRDefault="008B15FA" w:rsidP="008B15FA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8B1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«    » __________ 20  </w:t>
            </w:r>
            <w:r w:rsidRPr="008B15F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8B15FA" w:rsidRPr="0038455D" w:rsidRDefault="008B15FA">
      <w:pPr>
        <w:rPr>
          <w:rFonts w:ascii="Times New Roman" w:hAnsi="Times New Roman"/>
          <w:b/>
          <w:sz w:val="24"/>
          <w:szCs w:val="24"/>
        </w:rPr>
      </w:pPr>
    </w:p>
    <w:sectPr w:rsidR="008B15FA" w:rsidRPr="0038455D" w:rsidSect="009B5E60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5D"/>
    <w:rsid w:val="000F6D6E"/>
    <w:rsid w:val="0018019B"/>
    <w:rsid w:val="0019171C"/>
    <w:rsid w:val="002A2791"/>
    <w:rsid w:val="002A2929"/>
    <w:rsid w:val="002D24AC"/>
    <w:rsid w:val="002F47C0"/>
    <w:rsid w:val="00315D28"/>
    <w:rsid w:val="00354A5E"/>
    <w:rsid w:val="0038455D"/>
    <w:rsid w:val="003B08B3"/>
    <w:rsid w:val="004B40B1"/>
    <w:rsid w:val="0055773E"/>
    <w:rsid w:val="005D4593"/>
    <w:rsid w:val="00621034"/>
    <w:rsid w:val="006A054A"/>
    <w:rsid w:val="007445ED"/>
    <w:rsid w:val="007D4080"/>
    <w:rsid w:val="008B15FA"/>
    <w:rsid w:val="00931174"/>
    <w:rsid w:val="009940EC"/>
    <w:rsid w:val="009B5E60"/>
    <w:rsid w:val="009E041E"/>
    <w:rsid w:val="00A45330"/>
    <w:rsid w:val="00AE75F8"/>
    <w:rsid w:val="00BF4C2B"/>
    <w:rsid w:val="00C70B61"/>
    <w:rsid w:val="00CB3AA3"/>
    <w:rsid w:val="00CD6D05"/>
    <w:rsid w:val="00CE0142"/>
    <w:rsid w:val="00CE5002"/>
    <w:rsid w:val="00D46DA9"/>
    <w:rsid w:val="00D63FF0"/>
    <w:rsid w:val="00DA490E"/>
    <w:rsid w:val="00DD1CED"/>
    <w:rsid w:val="00DE6ECB"/>
    <w:rsid w:val="00E27AF8"/>
    <w:rsid w:val="00F332C3"/>
    <w:rsid w:val="00F52E1A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8B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84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8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55D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8B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90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6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33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2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09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80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88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2021-03-11T08:57:00Z</dcterms:created>
  <dcterms:modified xsi:type="dcterms:W3CDTF">2021-09-14T12:05:00Z</dcterms:modified>
</cp:coreProperties>
</file>