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_rels/document.xml.rels" ContentType="application/vnd.openxmlformats-package.relationships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document.xml" ContentType="application/vnd.openxmlformats-officedocument.wordprocessingml.document.main+xml"/>
  <Override PartName="/word/styles.xml" ContentType="application/vnd.openxmlformats-officedocument.wordprocessingml.style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tabs>
          <w:tab w:val="left" w:pos="0" w:leader="none"/>
          <w:tab w:val="left" w:pos="708" w:leader="none"/>
        </w:tabs>
        <w:ind w:hanging="25"/>
        <w:jc w:val="center"/>
        <w:rPr/>
      </w:pPr>
      <w:r>
        <w:rPr>
          <w:sz w:val="28"/>
          <w:szCs w:val="28"/>
        </w:rPr>
        <w:t xml:space="preserve">ПРОТОКОЛ ЗАСЕДАНИЯ ЗАКУПОЧНОЙ КОМИССИИ </w:t>
        <w:br/>
        <w:t>АВТОНОМНОЕ УЧРЕЖДЕНИЕ РЕСПУБЛИКИ БУРЯТИЯ "РЕСПУБЛИКАНСКИЙ КЛИНИЧЕСКИЙ ГОСПИТАЛЬ ДЛЯ ВЕТЕРАНОВ ВОЙН" № 32414188642</w:t>
      </w:r>
    </w:p>
    <w:p>
      <w:pPr>
        <w:pStyle w:val="Normal"/>
        <w:spacing w:before="170" w:after="0"/>
        <w:ind w:firstLine="850"/>
        <w:jc w:val="right"/>
        <w:rPr/>
      </w:pPr>
      <w:r>
        <w:rPr/>
        <w:t xml:space="preserve">Дата подписания протокола: 21.11.2024 </w:t>
      </w:r>
    </w:p>
    <w:p>
      <w:pPr>
        <w:pStyle w:val="Normal"/>
        <w:rPr/>
      </w:pPr>
      <w:r>
        <w:rPr/>
      </w:r>
    </w:p>
    <w:p>
      <w:pPr>
        <w:pStyle w:val="Normal"/>
        <w:rPr/>
      </w:pPr>
      <w:r>
        <w:rPr/>
        <w:t xml:space="preserve">Повестка: </w:t>
      </w:r>
      <w:bookmarkStart w:id="0" w:name="__DdeLink__4360_2055996328"/>
      <w:r>
        <w:rPr/>
        <w:t>Протокол рассмотрения и оценки заявок на участие в запросе котировок</w:t>
      </w:r>
      <w:bookmarkEnd w:id="0"/>
    </w:p>
    <w:p>
      <w:pPr>
        <w:pStyle w:val="Normal"/>
        <w:rPr/>
      </w:pPr>
      <w:r>
        <w:rPr/>
      </w:r>
    </w:p>
    <w:p>
      <w:pPr>
        <w:pStyle w:val="Normal"/>
        <w:rPr/>
      </w:pPr>
      <w:r>
        <w:rPr/>
        <w:t>На заседании комиссии присутствовали:</w:t>
      </w:r>
    </w:p>
    <w:p>
      <w:pPr>
        <w:pStyle w:val="Normal"/>
        <w:rPr/>
      </w:pPr>
      <w:r>
        <w:rPr/>
      </w:r>
    </w:p>
    <w:tbl>
      <w:tblPr>
        <w:tblW w:w="5000" w:type="pct"/>
        <w:jc w:val="left"/>
        <w:tblInd w:w="62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top w:w="113" w:type="dxa"/>
          <w:left w:w="113" w:type="dxa"/>
          <w:bottom w:w="113" w:type="dxa"/>
          <w:right w:w="113" w:type="dxa"/>
        </w:tblCellMar>
      </w:tblPr>
      <w:tblGrid>
        <w:gridCol w:w="4394"/>
        <w:gridCol w:w="4817"/>
      </w:tblGrid>
      <w:tr>
        <w:trPr/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Style22"/>
              <w:spacing w:before="0" w:after="0"/>
              <w:jc w:val="center"/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/>
              <w:t>Член комиссии</w:t>
            </w:r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Style22"/>
              <w:spacing w:before="0" w:after="0"/>
              <w:jc w:val="center"/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/>
              <w:t>Роль</w:t>
            </w:r>
          </w:p>
        </w:tc>
      </w:tr>
      <w:tr>
        <w:trPr/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Style22"/>
              <w:spacing w:before="0" w:after="0"/>
              <w:rPr/>
            </w:pPr>
            <w:r>
              <w:rPr>
                <w:lang w:val="en-US"/>
              </w:rPr>
              <w:t><![CDATA[Гатапова Анна Станиславовна]]></w:t>
            </w:r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Style22"/>
              <w:spacing w:before="0" w:after="0"/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/>
              <w:t><![CDATA[Председатель комиссии]]></w:t>
            </w:r>
          </w:p>
        </w:tc>
      </w:tr>
      <w:tr>
        <w:trPr/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Style22"/>
              <w:spacing w:before="0" w:after="0"/>
              <w:rPr/>
            </w:pPr>
            <w:r>
              <w:rPr>
                <w:lang w:val="en-US"/>
              </w:rPr>
              <w:t><![CDATA[Кушнарев Алексей Леонидович]]></w:t>
            </w:r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Style22"/>
              <w:spacing w:before="0" w:after="0"/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/>
              <w:t><![CDATA[Член комиссии]]></w:t>
            </w:r>
          </w:p>
        </w:tc>
      </w:tr>
      <w:tr>
        <w:trPr/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Style22"/>
              <w:spacing w:before="0" w:after="0"/>
              <w:rPr/>
            </w:pPr>
            <w:r>
              <w:rPr>
                <w:lang w:val="en-US"/>
              </w:rPr>
              <w:t><![CDATA[Тарнуева Ирина Кирилловна]]></w:t>
            </w:r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Style22"/>
              <w:spacing w:before="0" w:after="0"/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/>
              <w:t><![CDATA[Член комиссии]]></w:t>
            </w:r>
          </w:p>
        </w:tc>
      </w:tr>
      <w:tr>
        <w:trPr/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Style22"/>
              <w:spacing w:before="0" w:after="0"/>
              <w:rPr/>
            </w:pPr>
            <w:r>
              <w:rPr>
                <w:lang w:val="en-US"/>
              </w:rPr>
              <w:t><![CDATA[Фомина Александра Ивановна]]></w:t>
            </w:r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Style22"/>
              <w:spacing w:before="0" w:after="0"/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/>
              <w:t><![CDATA[Член комиссии]]></w:t>
            </w:r>
          </w:p>
        </w:tc>
      </w:tr>
    </w:tbl>
    <w:p>
      <w:pPr>
        <w:pStyle w:val="Normal"/>
        <w:shd w:val="clear" w:color="000000" w:themeTint="0" w:themeShade="0" w:fill="FFFFFF" w:themeFillTint="0" w:themeFillShade="0"/>
        <w:tabs>
          <w:tab w:val="left" w:pos="0" w:leader="none"/>
          <w:tab w:val="left" w:pos="192" w:leader="none"/>
          <w:tab w:val="left" w:pos="282" w:leader="none"/>
          <w:tab w:val="left" w:pos="708" w:leader="none"/>
          <w:tab w:val="left" w:pos="1108" w:leader="none"/>
          <w:tab w:val="left" w:pos="2024" w:leader="none"/>
          <w:tab w:val="left" w:pos="2940" w:leader="none"/>
          <w:tab w:val="left" w:pos="3856" w:leader="none"/>
          <w:tab w:val="left" w:pos="4772" w:leader="none"/>
          <w:tab w:val="left" w:pos="5688" w:leader="none"/>
          <w:tab w:val="left" w:pos="6604" w:leader="none"/>
          <w:tab w:val="left" w:pos="7520" w:leader="none"/>
          <w:tab w:val="left" w:pos="8436" w:leader="none"/>
          <w:tab w:val="left" w:pos="9352" w:leader="none"/>
          <w:tab w:val="left" w:pos="10268" w:leader="none"/>
          <w:tab w:val="left" w:pos="11184" w:leader="none"/>
          <w:tab w:val="left" w:pos="12100" w:leader="none"/>
        </w:tabs>
        <w:spacing w:lineRule="atLeast" w:line="100"/>
        <w:ind w:firstLine="426"/>
        <w:jc w:val="both"/>
        <w:textAlignment w:val="baseline"/>
        <w:rPr>
          <w:rFonts w:ascii="Times New Roman" w:hAnsi="Times New Roman" w:eastAsia="Calibri" w:cs="Times New Roman"/>
          <w:color w:val="000000"/>
          <w:sz w:val="24"/>
          <w:szCs w:val="24"/>
          <w:lang w:val="ru-RU" w:eastAsia="ru-RU" w:bidi="ar-SA"/>
        </w:rPr>
      </w:pPr>
      <w:r>
        <w:rPr>
          <w:rFonts w:eastAsia="Calibri" w:cs="Times New Roman"/>
          <w:color w:val="000000"/>
          <w:sz w:val="24"/>
          <w:szCs w:val="24"/>
          <w:lang w:val="ru-RU" w:eastAsia="ru-RU" w:bidi="ar-SA"/>
        </w:rPr>
      </w:r>
    </w:p>
    <w:p>
      <w:pPr>
        <w:pStyle w:val="Normal"/>
        <w:shd w:val="clear" w:color="000000" w:themeTint="0" w:themeShade="0" w:fill="FFFFFF" w:themeFillTint="0" w:themeFillShade="0"/>
        <w:tabs>
          <w:tab w:val="left" w:pos="0" w:leader="none"/>
          <w:tab w:val="left" w:pos="198" w:leader="none"/>
          <w:tab w:val="left" w:pos="283" w:leader="none"/>
          <w:tab w:val="left" w:pos="708" w:leader="none"/>
          <w:tab w:val="left" w:pos="1114" w:leader="none"/>
          <w:tab w:val="left" w:pos="2030" w:leader="none"/>
          <w:tab w:val="left" w:pos="2946" w:leader="none"/>
          <w:tab w:val="left" w:pos="3862" w:leader="none"/>
          <w:tab w:val="left" w:pos="4778" w:leader="none"/>
          <w:tab w:val="left" w:pos="5694" w:leader="none"/>
          <w:tab w:val="left" w:pos="6610" w:leader="none"/>
          <w:tab w:val="left" w:pos="7526" w:leader="none"/>
          <w:tab w:val="left" w:pos="8442" w:leader="none"/>
          <w:tab w:val="left" w:pos="9358" w:leader="none"/>
          <w:tab w:val="left" w:pos="10274" w:leader="none"/>
          <w:tab w:val="left" w:pos="11190" w:leader="none"/>
          <w:tab w:val="left" w:pos="12106" w:leader="none"/>
        </w:tabs>
        <w:spacing w:lineRule="auto" w:line="360"/>
        <w:jc w:val="both"/>
        <w:textAlignment w:val="baseline"/>
        <w:rPr/>
      </w:pPr>
      <w:r>
        <w:rPr>
          <w:rFonts w:eastAsia="Times New Roman"/>
          <w:color w:val="00000A"/>
          <w:shd w:fill="FFFFFF" w:val="clear"/>
        </w:rPr>
        <w:t>Кворум для принятия решения имеется.</w:t>
      </w:r>
    </w:p>
    <w:p>
      <w:pPr>
        <w:pStyle w:val="Normal"/>
        <w:tabs>
          <w:tab w:val="left" w:pos="708" w:leader="none"/>
          <w:tab w:val="left" w:pos="851" w:leader="none"/>
        </w:tabs>
        <w:spacing w:before="397" w:after="113"/>
        <w:jc w:val="center"/>
        <w:rPr/>
      </w:pPr>
      <w:r>
        <w:rPr>
          <w:sz w:val="28"/>
          <w:szCs w:val="28"/>
          <w:lang w:eastAsia="en-US"/>
        </w:rPr>
        <w:t>1. Информация о процедуре</w:t>
      </w:r>
    </w:p>
    <w:tbl>
      <w:tblPr>
        <w:tblW w:w="5000" w:type="pct"/>
        <w:jc w:val="left"/>
        <w:tblInd w:w="62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top w:w="57" w:type="dxa"/>
          <w:left w:w="57" w:type="dxa"/>
          <w:bottom w:w="57" w:type="dxa"/>
          <w:right w:w="57" w:type="dxa"/>
        </w:tblCellMar>
      </w:tblPr>
      <w:tblGrid>
        <w:gridCol w:w="3354"/>
        <w:gridCol w:w="5857"/>
      </w:tblGrid>
      <w:tr>
        <w:trPr/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Normal"/>
              <w:tabs>
                <w:tab w:val="left" w:pos="708" w:leader="none"/>
                <w:tab w:val="left" w:pos="709" w:leader="none"/>
              </w:tabs>
              <w:spacing w:before="0" w:after="0"/>
              <w:rPr/>
            </w:pPr>
            <w:r>
              <w:rPr>
                <w:sz w:val="22"/>
                <w:szCs w:val="22"/>
                <w:lang w:eastAsia="en-US"/>
              </w:rPr>
              <w:t>Способ закупки: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Normal"/>
              <w:tabs>
                <w:tab w:val="left" w:pos="708" w:leader="none"/>
                <w:tab w:val="left" w:pos="709" w:leader="none"/>
              </w:tabs>
              <w:spacing w:before="0" w:after="0"/>
              <w:rPr/>
            </w:pPr>
            <w:r>
              <w:rPr>
                <w:sz w:val="22"/>
                <w:szCs w:val="22"/>
              </w:rPr>
              <w:t>Запрос котировок в электронной форме с 01.01.2019</w:t>
            </w:r>
          </w:p>
        </w:tc>
      </w:tr>
      <w:tr>
        <w:trPr/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Normal"/>
              <w:tabs>
                <w:tab w:val="left" w:pos="708" w:leader="none"/>
                <w:tab w:val="left" w:pos="709" w:leader="none"/>
              </w:tabs>
              <w:spacing w:before="0" w:after="0"/>
              <w:rPr/>
            </w:pPr>
            <w:r>
              <w:rPr>
                <w:sz w:val="22"/>
                <w:szCs w:val="22"/>
              </w:rPr>
              <w:t>Наименование закупки: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Normal"/>
              <w:tabs>
                <w:tab w:val="left" w:pos="708" w:leader="none"/>
                <w:tab w:val="left" w:pos="709" w:leader="none"/>
              </w:tabs>
              <w:spacing w:before="0" w:after="0"/>
              <w:rPr/>
            </w:pPr>
            <w:r>
              <w:rPr>
                <w:sz w:val="22"/>
                <w:szCs w:val="22"/>
              </w:rPr>
              <w:t>Поставка реактивов для автоанализаторов ВS-5800,  ВS-6000,ВА 400, ВS-400</w:t>
            </w:r>
          </w:p>
        </w:tc>
      </w:tr>
      <w:tr>
        <w:trPr/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22"/>
              <w:shd w:val="clear" w:color="000000" w:themeTint="0" w:themeShade="0" w:fill="FFFFFF" w:themeFillTint="0" w:themeFillShade="0"/>
              <w:spacing w:before="0" w:after="0"/>
              <w:rPr/>
            </w:pPr>
            <w:r>
              <w:rPr>
                <w:sz w:val="22"/>
                <w:szCs w:val="22"/>
                <w:lang w:val="ru-RU"/>
              </w:rPr>
              <w:t>Извещение о проведении торгов: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22"/>
              <w:shd w:val="clear" w:color="000000" w:themeTint="0" w:themeShade="0" w:fill="FFFFFF" w:themeFillTint="0" w:themeFillShade="0"/>
              <w:spacing w:before="0" w:after="0"/>
              <w:rPr/>
            </w:pPr>
            <w:r>
              <w:rPr>
                <w:sz w:val="22"/>
                <w:szCs w:val="22"/>
                <w:lang w:val="ru-RU"/>
              </w:rPr>
              <w:t>E255201</w:t>
            </w:r>
          </w:p>
        </w:tc>
      </w:tr>
      <w:tr>
        <w:trPr/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0"/>
              <w:rPr/>
            </w:pPr>
            <w:r>
              <w:rPr>
                <w:sz w:val="22"/>
                <w:szCs w:val="22"/>
                <w:lang w:eastAsia="en-US"/>
              </w:rPr>
              <w:t>Дата публикации извещения: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0"/>
              <w:rPr/>
            </w:pPr>
            <w:r>
              <w:rPr>
                <w:sz w:val="22"/>
                <w:szCs w:val="22"/>
              </w:rPr>
              <w:t>13.11.2024 09:22:23</w:t>
            </w:r>
          </w:p>
        </w:tc>
      </w:tr>
      <w:tr>
        <w:trPr/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0"/>
              <w:rPr/>
            </w:pPr>
            <w:r>
              <w:rPr>
                <w:sz w:val="22"/>
                <w:szCs w:val="22"/>
                <w:lang w:eastAsia="en-US"/>
              </w:rPr>
              <w:t>Место проведения процедуры: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0"/>
              <w:rPr/>
            </w:pPr>
            <w:r>
              <w:rPr>
                <w:sz w:val="22"/>
                <w:szCs w:val="22"/>
              </w:rPr>
              <w:t>http://estp.ru</w:t>
            </w:r>
          </w:p>
        </w:tc>
      </w:tr>
    </w:tbl>
    <w:p>
      <w:pPr>
        <w:pStyle w:val="Normal"/>
        <w:tabs>
          <w:tab w:val="left" w:pos="708" w:leader="none"/>
          <w:tab w:val="left" w:pos="851" w:leader="none"/>
        </w:tabs>
        <w:spacing w:before="397" w:after="113"/>
        <w:jc w:val="center"/>
        <w:rPr/>
      </w:pPr>
      <w:r>
        <w:rPr>
          <w:sz w:val="28"/>
          <w:szCs w:val="28"/>
          <w:lang w:eastAsia="en-US"/>
        </w:rPr>
        <w:t>2. Данные об организациях-заказчиках закупки</w:t>
      </w:r>
    </w:p>
    <w:tbl>
      <w:tblPr>
        <w:tblW w:w="5000" w:type="pct"/>
        <w:jc w:val="left"/>
        <w:tblInd w:w="62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top w:w="57" w:type="dxa"/>
          <w:left w:w="57" w:type="dxa"/>
          <w:bottom w:w="57" w:type="dxa"/>
          <w:right w:w="57" w:type="dxa"/>
        </w:tblCellMar>
      </w:tblPr>
      <w:tblGrid>
        <w:gridCol w:w="3342"/>
        <w:gridCol w:w="5869"/>
      </w:tblGrid>
      <w:tr>
        <w:trPr/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0"/>
              <w:rPr/>
            </w:pPr>
            <w:r>
              <w:rPr>
                <w:sz w:val="22"/>
                <w:szCs w:val="22"/>
                <w:lang w:eastAsia="en-US"/>
              </w:rPr>
              <w:t>Наименование: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0"/>
              <w:rPr/>
            </w:pPr>
            <w:r>
              <w:rPr>
                <w:sz w:val="22"/>
                <w:szCs w:val="22"/>
              </w:rPr>
              <w:t><![CDATA[АВТОНОМНОЕ УЧРЕЖДЕНИЕ РЕСПУБЛИКИ БУРЯТИЯ "РЕСПУБЛИКАНСКИЙ КЛИНИЧЕСКИЙ ГОСПИТАЛЬ ДЛЯ ВЕТЕРАНОВ ВОЙН"]]></w:t>
            </w:r>
          </w:p>
        </w:tc>
      </w:tr>
      <w:tr>
        <w:trPr/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0"/>
              <w:rPr/>
            </w:pPr>
            <w:r>
              <w:rPr>
                <w:sz w:val="22"/>
                <w:szCs w:val="22"/>
                <w:lang w:eastAsia="en-US"/>
              </w:rPr>
              <w:t>ИНН: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0"/>
              <w:rPr/>
            </w:pPr>
            <w:r>
              <w:rPr>
                <w:sz w:val="22"/>
                <w:szCs w:val="22"/>
              </w:rPr>
              <w:t><![CDATA[0323054243]]></w:t>
            </w:r>
          </w:p>
        </w:tc>
      </w:tr>
      <w:tr>
        <w:trPr/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0"/>
              <w:rPr/>
            </w:pPr>
            <w:r>
              <w:rPr>
                <w:sz w:val="22"/>
                <w:szCs w:val="22"/>
                <w:lang w:eastAsia="en-US"/>
              </w:rPr>
              <w:t>КПП: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0"/>
              <w:rPr/>
            </w:pPr>
            <w:r>
              <w:rPr>
                <w:sz w:val="22"/>
                <w:szCs w:val="22"/>
              </w:rPr>
              <w:t><![CDATA[032301001]]></w:t>
            </w:r>
          </w:p>
        </w:tc>
      </w:tr>
      <w:tr>
        <w:trPr/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0"/>
              <w:rPr/>
            </w:pPr>
            <w:r>
              <w:rPr>
                <w:sz w:val="22"/>
                <w:szCs w:val="22"/>
                <w:lang w:eastAsia="en-US"/>
              </w:rPr>
              <w:t>ОГРН: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0"/>
              <w:rPr/>
            </w:pPr>
            <w:r>
              <w:rPr>
                <w:sz w:val="22"/>
                <w:szCs w:val="22"/>
              </w:rPr>
              <w:t><![CDATA[1020300904194]]></w:t>
            </w:r>
          </w:p>
        </w:tc>
      </w:tr>
      <w:tr>
        <w:trPr/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0"/>
              <w:rPr/>
            </w:pPr>
            <w:r>
              <w:rPr>
                <w:sz w:val="22"/>
                <w:szCs w:val="22"/>
                <w:lang w:eastAsia="en-US"/>
              </w:rPr>
              <w:t>Юридический адрес: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0"/>
              <w:rPr/>
            </w:pPr>
            <w:r>
              <w:rPr>
                <w:sz w:val="22"/>
                <w:szCs w:val="22"/>
              </w:rPr>
              <w:t><![CDATA[670047 г Улан-Удэ, ул Пирогова, д 30А]]></w:t>
            </w:r>
          </w:p>
        </w:tc>
      </w:tr>
      <w:tr>
        <w:trPr/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0"/>
              <w:rPr/>
            </w:pPr>
            <w:r>
              <w:rPr>
                <w:sz w:val="22"/>
                <w:szCs w:val="22"/>
                <w:lang w:eastAsia="en-US"/>
              </w:rPr>
              <w:t>Почтовый адрес: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0"/>
              <w:rPr/>
            </w:pPr>
            <w:r>
              <w:rPr>
                <w:sz w:val="22"/>
                <w:szCs w:val="22"/>
              </w:rPr>
              <w:t><![CDATA[670047, Российская Федерация, Республика Бурятия, г. Улан-Удэ, ул. Пирогова, 30 А]]></w:t>
            </w:r>
          </w:p>
        </w:tc>
      </w:tr>
      <w:tr>
        <w:trPr/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Normal"/>
              <w:tabs>
                <w:tab w:val="left" w:pos="708" w:leader="none"/>
                <w:tab w:val="left" w:pos="851" w:leader="none"/>
              </w:tabs>
              <w:spacing w:before="0" w:after="0"/>
              <w:rPr/>
            </w:pPr>
            <w:r>
              <w:rPr>
                <w:sz w:val="22"/>
                <w:szCs w:val="22"/>
                <w:shd w:fill="FFFFFF" w:val="clear"/>
                <w:lang w:eastAsia="en-US"/>
              </w:rPr>
              <w:t>Телефон: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Normal"/>
              <w:tabs>
                <w:tab w:val="left" w:pos="708" w:leader="none"/>
                <w:tab w:val="left" w:pos="851" w:leader="none"/>
              </w:tabs>
              <w:spacing w:before="0" w:after="0"/>
              <w:rPr/>
            </w:pPr>
            <w:r>
              <w:rPr>
                <w:sz w:val="22"/>
                <w:szCs w:val="22"/>
              </w:rPr>
              <w:t><![CDATA[7-3012-435360]]></w:t>
            </w:r>
          </w:p>
        </w:tc>
      </w:tr>
    </w:tbl>
    <w:p/>
    <w:p>
      <w:pPr>
        <w:pStyle w:val="Normal"/>
        <w:tabs>
          <w:tab w:val="left" w:pos="708" w:leader="none"/>
          <w:tab w:val="left" w:pos="851" w:leader="none"/>
        </w:tabs>
        <w:spacing w:before="397" w:after="113"/>
        <w:jc w:val="center"/>
        <w:rPr/>
      </w:pPr>
      <w:r>
        <w:rPr>
          <w:sz w:val="28"/>
          <w:szCs w:val="28"/>
          <w:lang w:eastAsia="en-US"/>
        </w:rPr>
        <w:t>3. Информация о лотах</w:t>
      </w:r>
    </w:p>
    <w:tbl>
      <w:tblPr>
        <w:tblW w:w="9212" w:type="dxa"/>
        <w:jc w:val="left"/>
        <w:tblInd w:w="0" w:type="dxa"/>
        <w:tblBorders/>
        <w:tblCellMar>
          <w:top w:w="0" w:type="dxa"/>
          <w:left w:w="0" w:type="dxa"/>
          <w:bottom w:w="0" w:type="dxa"/>
          <w:right w:w="0" w:type="dxa"/>
        </w:tblCellMar>
      </w:tblPr>
      <w:tblGrid>
        <w:gridCol w:w="9212"/>
      </w:tblGrid>
      <w:tr>
        <w:trPr/>
        <w:tc>
          <w:tcPr>
            <w:tcW w:w="9212" w:type="dxa"/>
            <w:tcBorders/>
            <w:shd w:fill="auto" w:val="clear"/>
          </w:tcPr>
          <w:p>
            <w:pPr>
              <w:pStyle w:val="Normal"/>
              <w:tabs>
                <w:tab w:val="left" w:pos="708" w:leader="none"/>
                <w:tab w:val="left" w:pos="851" w:leader="none"/>
              </w:tabs>
              <w:rPr>
                <w:lang w:val="en-US"/>
              </w:rPr>
            </w:pPr>
            <w:r>
              <w:rPr>
                <w:lang w:val="en-US" w:eastAsia="en-US"/>
              </w:rPr>
              <w:t xml:space="preserve"><![CDATA[3.1 ]]></w:t>
            </w:r>
            <w:r>
              <w:rPr>
                <w:lang w:eastAsia="en-US"/>
              </w:rPr>
              <w:t>Лот</w:t>
            </w:r>
            <w:r>
              <w:rPr>
                <w:lang w:val="en-US" w:eastAsia="en-US"/>
              </w:rPr>
              <w:t xml:space="preserve"> </w:t>
            </w:r>
            <w:r>
              <w:rPr>
                <w:sz w:val="22"/>
                <w:szCs w:val="22"/>
                <w:lang w:val="en-US" w:eastAsia="en-US"/>
              </w:rPr>
              <w:t><![CDATA[E255201-1]]></w:t>
            </w:r>
          </w:p>
          <w:p>
            <w:pPr>
              <w:pStyle w:val="Normal"/>
              <w:tabs>
                <w:tab w:val="left" w:pos="708" w:leader="none"/>
                <w:tab w:val="left" w:pos="851" w:leader="none"/>
              </w:tabs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en-US" w:eastAsia="en-US" w:bidi="ar-SA"/>
              </w:rPr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en-US" w:eastAsia="en-US" w:bidi="ar-SA"/>
              </w:rPr>
            </w:r>
          </w:p>
          <w:p>
            <w:pPr>
              <w:pStyle w:val="Normal"/>
              <w:tabs>
                <w:tab w:val="left" w:pos="708" w:leader="none"/>
                <w:tab w:val="left" w:pos="851" w:leader="none"/>
              </w:tabs>
              <w:rPr>
                <w:lang w:val="en-US"/>
              </w:rPr>
            </w:pPr>
            <w:r>
              <w:rPr>
                <w:lang w:val="en-US" w:eastAsia="en-US"/>
              </w:rPr>
              <w:t xml:space="preserve"><![CDATA[3.1.1 ]]></w:t>
            </w:r>
            <w:r>
              <w:rPr>
                <w:lang w:eastAsia="en-US"/>
              </w:rPr>
              <w:t>Общие сведения</w:t>
            </w:r>
          </w:p>
          <w:p>
            <w:pPr>
              <w:pStyle w:val="Normal"/>
              <w:tabs>
                <w:tab w:val="left" w:pos="708" w:leader="none"/>
                <w:tab w:val="left" w:pos="851" w:leader="none"/>
              </w:tabs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en-US" w:eastAsia="en-US" w:bidi="ar-SA"/>
              </w:rPr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en-US" w:eastAsia="en-US" w:bidi="ar-SA"/>
              </w:rPr>
            </w:r>
          </w:p>
          <w:tbl>
            <w:tblPr>
              <w:tblW w:w="5000" w:type="pct"/>
              <w:jc w:val="lef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top w:w="57" w:type="dxa"/>
                <w:left w:w="57" w:type="dxa"/>
                <w:bottom w:w="57" w:type="dxa"/>
                <w:right w:w="57" w:type="dxa"/>
              </w:tblCellMar>
            </w:tblPr>
            <w:tblGrid>
              <w:gridCol w:w="3354"/>
              <w:gridCol w:w="5857"/>
            </w:tblGrid>
            <w:tr>
              <w:trPr/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0" w:after="0"/>
                    <w:ind w:left="0" w:right="0" w:hanging="0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Наименование объекта закупки: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0" w:after="0"/>
                    <w:ind w:left="0" w:right="0" w:hanging="0"/>
                    <w:rPr/>
                  </w:pPr>
                  <w:r>
                    <w:rPr>
                      <w:sz w:val="22"/>
                      <w:szCs w:val="22"/>
                    </w:rPr>
                    <w:t><![CDATA[Поставка реактивов для автоанализаторов ВS-5800,  ВS-6000,ВА 400, ВS-400]]></w:t>
                  </w:r>
                </w:p>
              </w:tc>
            </w:tr>
            <w:tr>
              <w:trPr/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0" w:after="0"/>
                    <w:ind w:left="0" w:right="0" w:hanging="0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Начальная (максимальная) цена договора: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0" w:after="0"/>
                    <w:ind w:left="0" w:right="0" w:hanging="0"/>
                    <w:rPr>
                      <w:rFonts w:ascii="Times New Roman" w:hAnsi="Times New Roman" w:eastAsia="Calibri" w:cs="Times New Roman"/>
                      <w:color w:val="000000"/>
                      <w:sz w:val="22"/>
                      <w:szCs w:val="22"/>
                      <w:lang w:val="ru-RU" w:eastAsia="ru-RU" w:bidi="ar-SA"/>
                    </w:rPr>
                  </w:pPr>
                  <w:r>
                    <w:rPr>
                      <w:sz w:val="22"/>
                      <w:szCs w:val="22"/>
                    </w:rPr>
                    <w:t><![CDATA[289 061,00]]></w:t>
                  </w:r>
                </w:p>
              </w:tc>
            </w:tr>
            <w:tr>
              <w:trPr/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0" w:after="0"/>
                    <w:ind w:left="0" w:right="0" w:hanging="0"/>
                    <w:rPr>
                      <w:rFonts w:ascii="Times New Roman" w:hAnsi="Times New Roman" w:eastAsia="Calibri" w:cs="Times New Roman"/>
                      <w:color w:val="000000"/>
                      <w:sz w:val="24"/>
                      <w:szCs w:val="24"/>
                      <w:lang w:val="ru-RU" w:eastAsia="ru-RU" w:bidi="ar-SA"/>
                    </w:rPr>
                  </w:pPr>
                  <w:r>
                    <w:rPr>
                      <w:sz w:val="22"/>
                      <w:szCs w:val="22"/>
                    </w:rPr>
                    <w:t>Валюта лота: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0" w:after="0"/>
                    <w:ind w:left="0" w:right="0" w:hanging="0"/>
                    <w:rPr>
                      <w:rFonts w:ascii="Times New Roman" w:hAnsi="Times New Roman" w:eastAsia="Calibri" w:cs="Times New Roman"/>
                      <w:color w:val="000000"/>
                      <w:sz w:val="24"/>
                      <w:szCs w:val="24"/>
                      <w:lang w:val="ru-RU" w:eastAsia="ru-RU" w:bidi="ar-SA"/>
                    </w:rPr>
                  </w:pPr>
                  <w:r>
                    <w:rPr>
                      <w:sz w:val="22"/>
                      <w:szCs w:val="22"/>
                    </w:rPr>
                    <w:t><![CDATA[Российский рубль]]></w:t>
                  </w:r>
                </w:p>
              </w:tc>
            </w:tr>
            <w:tr>
              <w:trPr/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0" w:after="0"/>
                    <w:ind w:left="0" w:right="0" w:hanging="0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Место поставки товара/выполнения работ: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0" w:after="0"/>
                    <w:ind w:left="0" w:right="0" w:hanging="0"/>
                    <w:rPr/>
                  </w:pPr>
                  <w:r>
                    <w:rPr>
                      <w:rFonts w:eastAsia="Calibri" w:cs="Times New Roman"/>
                      <w:color w:val="000000"/>
                      <w:sz w:val="22"/>
                      <w:szCs w:val="22"/>
                      <w:lang w:val="ru-RU" w:eastAsia="ru-RU" w:bidi="ar-SA"/>
                    </w:rPr>
                    <w:t/>
                    <w:br/>
                    <w:t><![CDATA[670047, Российская Федерация, Республика Бурятия, г. Улан-Удэ, ул. Пирогова, 30 А]]></w:t>
                  </w:r>
                </w:p>
              </w:tc>
            </w:tr>
            <w:tr>
              <w:trPr/>
              <w:tc>
                <w:tcPr>
                  <w:tcW w:w="3354" w:type="dxa"/>
                  <w:tcBorders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0" w:after="0"/>
                    <w:ind w:left="0" w:right="0" w:hanging="0"/>
                    <w:rPr/>
                  </w:pPr>
                  <w:r>
                    <w:rPr/>
                    <w:t>Срок исполнения договора</w:t>
                  </w:r>
                </w:p>
              </w:tc>
              <w:tc>
                <w:tcPr>
                  <w:tcW w:w="5857" w:type="dxa"/>
                  <w:tcBorders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0" w:after="0"/>
                    <w:ind w:left="0" w:right="0" w:hanging="0"/>
                    <w:rPr/>
                  </w:pPr>
                  <w:r>
                    <w:rPr/>
                    <w:t><![CDATA[31.12.2025]]></w:t>
                  </w:r>
                </w:p>
              </w:tc>
            </w:tr>
          </w:tbl>
          <w:p>
            <w:pPr>
              <w:pStyle w:val="Normal"/>
              <w:rPr/>
            </w:pPr>
            <w:r>
              <w:rPr/>
            </w:r>
          </w:p>
          <w:p>
            <w:pPr>
              <w:pStyle w:val="Normal"/>
              <w:rPr/>
            </w:pPr>
            <w:r>
              <w:rPr>
                <w:lang w:eastAsia="en-US"/>
              </w:rPr>
              <w:t><![CDATA[3.1.2 Сведения об объеме закупаемых товаров, работ, услуг]]></w:t>
            </w:r>
          </w:p>
          <w:p>
            <w:pPr>
              <w:pStyle w:val="Normal"/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ru-RU" w:eastAsia="en-US" w:bidi="ar-SA"/>
              </w:rPr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ru-RU" w:eastAsia="en-US" w:bidi="ar-SA"/>
              </w:rPr>
            </w:r>
          </w:p>
          <w:tbl>
            <w:tblPr>
              <w:tblW w:w="5000" w:type="pct"/>
              <w:jc w:val="lef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right w:val="single" w:sz="2" w:space="0" w:color="000001"/>
                <w:insideH w:val="single" w:sz="2" w:space="0" w:color="000001"/>
                <w:insideV w:val="single" w:sz="2" w:space="0" w:color="000001"/>
              </w:tblBorders>
              <w:tblCellMar>
                <w:top w:w="0" w:type="dxa"/>
                <w:left w:w="18" w:type="dxa"/>
                <w:bottom w:w="0" w:type="dxa"/>
                <w:right w:w="108" w:type="dxa"/>
              </w:tblCellMar>
            </w:tblPr>
            <w:tblGrid>
              <w:gridCol w:w="2301"/>
              <w:gridCol w:w="2303"/>
              <w:gridCol w:w="2301"/>
              <w:gridCol w:w="2306"/>
            </w:tblGrid>
            <w:tr>
              <w:trPr/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ОКВЭД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ОКДП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Количество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Единица измерения</w:t>
                  </w:r>
                </w:p>
              </w:tc>
            </w:tr>
            <w:tr>
              <w:trPr/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>
                      <w:lang w:val="en-US"/>
                    </w:rPr>
                  </w:pPr>
                  <w:r>
                    <w:rPr>
                      <w:lang w:val="en-US"/>
                    </w:rPr>
                    <w:t><![CDATA[20.59.5]]></w:t>
                  </w:r>
                </w:p>
                <w:p>
                  <w:pPr>
                    <w:pStyle w:val="Normal"/>
                    <w:spacing w:before="57" w:after="57"/>
                    <w:jc w:val="center"/>
                    <w:rPr>
                      <w:lang w:val="en-US"/>
                    </w:rPr>
                  </w:pPr>
                  <w:r>
                    <w:rPr>
                      <w:sz w:val="22"/>
                      <w:szCs w:val="22"/>
                      <w:lang w:val="en-US" w:eastAsia="en-US"/>
                    </w:rPr>
                    <w:t><![CDATA[Производство прочих химических продуктов, не включенных в другие группировки]]>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>
                      <w:lang w:val="en-US"/>
                    </w:rPr>
                  </w:pPr>
                  <w:bookmarkStart w:id="1" w:name="__DdeLink__297_1642196365"/>
                  <w:bookmarkEnd w:id="1"/>
                  <w:r>
                    <w:rPr>
                      <w:sz w:val="22"/>
                      <w:szCs w:val="22"/>
                      <w:lang w:val="en-US" w:eastAsia="en-US"/>
                    </w:rPr>
                    <w:t><![CDATA[20.59.52.194]]></w:t>
                  </w:r>
                </w:p>
                <w:p>
                  <w:pPr>
                    <w:pStyle w:val="Normal"/>
                    <w:spacing w:before="57" w:after="57"/>
                    <w:jc w:val="center"/>
                    <w:rPr>
                      <w:lang w:val="en-US"/>
                    </w:rPr>
                  </w:pPr>
                  <w:r>
                    <w:rPr>
                      <w:sz w:val="22"/>
                      <w:szCs w:val="22"/>
                      <w:lang w:val="en-US" w:eastAsia="en-US"/>
                    </w:rPr>
                    <w:t><![CDATA[Реактивы химические общелабораторного назначения]]>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/>
                  </w:pPr>
                  <w:bookmarkStart w:id="2" w:name="__DdeLink__301_1642196365"/>
                  <w:bookmarkEnd w:id="2"/>
                  <w:r>
                    <w:rPr>
                      <w:sz w:val="22"/>
                      <w:szCs w:val="22"/>
                      <w:lang w:eastAsia="en-US"/>
                    </w:rPr>
                    <w:t><![CDATA[40]]>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<![CDATA[Условная единица]]></w:t>
                  </w:r>
                </w:p>
              </w:tc>
            </w:tr>
          </w:tbl>
          <w:p/>
          <w:p>
            <w:pPr>
              <w:pStyle w:val="Normal"/>
              <w:rPr/>
            </w:pPr>
            <w:r>
              <w:rPr/>
            </w:r>
          </w:p>
          <w:p>
            <w:pPr>
              <w:pStyle w:val="Normal"/>
              <w:rPr/>
            </w:pPr>
            <w:r>
              <w:rPr/>
              <w:t>3.</w:t>
            </w:r>
            <w:r>
              <w:rPr>
                <w:lang w:eastAsia="en-US"/>
              </w:rPr>
              <w:t><![CDATA[1]]></w:t>
            </w:r>
            <w:r>
              <w:rPr/>
              <w:t>.3 Сведения о рассмотренных заявках</w:t>
            </w:r>
          </w:p>
          <w:p>
            <w:pPr>
              <w:pStyle w:val="Normal"/>
              <w:rPr/>
            </w:pPr>
            <w:r>
              <w:rPr/>
            </w:r>
          </w:p>
          <w:tbl>
            <w:tblPr>
              <w:tblW w:w="9210" w:type="dxa"/>
              <w:jc w:val="lef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top w:w="57" w:type="dxa"/>
                <w:left w:w="57" w:type="dxa"/>
                <w:bottom w:w="57" w:type="dxa"/>
                <w:right w:w="57" w:type="dxa"/>
              </w:tblCellMar>
            </w:tblPr>
            <w:tblGrid>
              <w:gridCol w:w="1751"/>
              <w:gridCol w:w="1939"/>
              <w:gridCol w:w="4016"/>
              <w:gridCol w:w="1503"/>
            </w:tblGrid>
            <w:tr>
              <w:trPr/>
              <w:tc>
                <w:tcPr>
                  <w:tcW w:w="175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jc w:val="center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Номер заявки</w:t>
                  </w:r>
                </w:p>
              </w:tc>
              <w:tc>
                <w:tcPr>
                  <w:tcW w:w="193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jc w:val="center"/>
                    <w:rPr/>
                  </w:pPr>
                  <w:r>
                    <w:rPr/>
                    <w:t><![CDATA[888947]]></w:t>
                  </w:r>
                </w:p>
              </w:tc>
              <w:tc>
                <w:tcPr>
                  <w:tcW w:w="401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22"/>
                    <w:shd w:val="clear" w:color="000000" w:themeTint="0" w:themeShade="0" w:fill="FFFFFF" w:themeFillTint="0" w:themeFillShade="0"/>
                    <w:tabs>
                      <w:tab w:val="left" w:pos="708" w:leader="none"/>
                      <w:tab w:val="left" w:pos="851" w:leader="none"/>
                    </w:tabs>
                    <w:spacing w:lineRule="atLeast" w:line="100" w:before="0" w:after="0"/>
                    <w:ind w:left="0" w:right="0" w:hanging="0"/>
                    <w:jc w:val="both"/>
                    <w:rPr>
                      <w:sz w:val="22"/>
                      <w:szCs w:val="22"/>
                    </w:rPr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Ранг согласно поданному предложению</w:t>
                  </w:r>
                </w:p>
              </w:tc>
              <w:tc>
                <w:tcPr>
                  <w:tcW w:w="15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hd w:val="clear" w:color="000000" w:themeTint="0" w:themeShade="0" w:fill="FFFFFF" w:themeFillTint="0" w:themeFillShade="0"/>
                    <w:tabs>
                      <w:tab w:val="left" w:pos="708" w:leader="none"/>
                      <w:tab w:val="left" w:pos="851" w:leader="none"/>
                    </w:tabs>
                    <w:spacing w:lineRule="atLeast" w:line="100" w:before="0" w:after="0"/>
                    <w:ind w:left="0" w:right="0" w:hanging="0"/>
                    <w:jc w:val="center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<![CDATA[1]]></w:t>
                  </w:r>
                </w:p>
              </w:tc>
            </w:tr>
            <w:tr>
              <w:trPr/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22"/>
                    <w:shd w:val="clear" w:color="000000" w:themeTint="0" w:themeShade="0" w:fill="FFFFFF" w:themeFillTint="0" w:themeFillShade="0"/>
                    <w:tabs>
                      <w:tab w:val="left" w:pos="708" w:leader="none"/>
                      <w:tab w:val="left" w:pos="851" w:leader="none"/>
                    </w:tabs>
                    <w:spacing w:lineRule="atLeast" w:line="100" w:before="0" w:after="0"/>
                    <w:ind w:left="0" w:right="0" w:hanging="0"/>
                    <w:jc w:val="both"/>
                    <w:rPr>
                      <w:lang w:val="ru-RU"/>
                    </w:rPr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Дата и время подачи заявки: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bookmarkStart w:id="3" w:name="__DdeLink__1258_1642196365"/>
                  <w:bookmarkEnd w:id="3"/>
                  <w:r>
                    <w:rPr>
                      <w:sz w:val="22"/>
                      <w:szCs w:val="22"/>
                      <w:lang w:eastAsia="en-US"/>
                    </w:rPr>
                    <w:t><![CDATA[20.11.2024  08:36:55]]></w:t>
                  </w:r>
                </w:p>
              </w:tc>
            </w:tr>
            <w:tr>
              <w:trPr/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22"/>
                    <w:shd w:val="clear" w:color="000000" w:themeTint="0" w:themeShade="0" w:fill="FFFFFF" w:themeFillTint="0" w:themeFillShade="0"/>
                    <w:tabs>
                      <w:tab w:val="left" w:pos="708" w:leader="none"/>
                      <w:tab w:val="left" w:pos="851" w:leader="none"/>
                    </w:tabs>
                    <w:spacing w:lineRule="atLeast" w:line="100" w:before="0" w:after="0"/>
                    <w:ind w:left="0" w:right="0" w:hanging="0"/>
                    <w:jc w:val="both"/>
                    <w:rPr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 w:eastAsia="en-US"/>
                    </w:rPr>
                    <w:t>Ценовое предложение: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<![CDATA[285 061,00]]></w:t>
                  </w:r>
                </w:p>
              </w:tc>
            </w:tr>
            <w:tr>
              <w:trPr/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22"/>
                    <w:shd w:val="clear" w:color="000000" w:themeTint="0" w:themeShade="0" w:fill="FFFFFF" w:themeFillTint="0" w:themeFillShade="0"/>
                    <w:tabs>
                      <w:tab w:val="left" w:pos="708" w:leader="none"/>
                      <w:tab w:val="left" w:pos="851" w:leader="none"/>
                    </w:tabs>
                    <w:spacing w:lineRule="atLeast" w:line="100" w:before="0" w:after="0"/>
                    <w:ind w:left="0" w:right="0" w:hanging="0"/>
                    <w:jc w:val="both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>Валюта предложения: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rFonts w:ascii="Times New Roman" w:hAnsi="Times New Roman" w:eastAsia="Calibri" w:cs="Times New Roman"/>
                      <w:color w:val="000000"/>
                      <w:sz w:val="24"/>
                      <w:szCs w:val="24"/>
                      <w:lang w:val="ru-RU" w:eastAsia="ru-RU" w:bidi="ar-SA"/>
                    </w:rPr>
                  </w:pPr>
                  <w:r>
                    <w:rPr>
                      <w:sz w:val="22"/>
                      <w:szCs w:val="22"/>
                    </w:rPr>
                    <w:t><![CDATA[Российский рубль]]></w:t>
                  </w:r>
                </w:p>
              </w:tc>
            </w:tr>
            <w:tr>
              <w:trPr>
                <w:trHeight w:val="340" w:hRule="atLeast"/>
              </w:trPr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tabs>
                      <w:tab w:val="left" w:pos="708" w:leader="none"/>
                      <w:tab w:val="left" w:pos="851" w:leader="none"/>
                    </w:tabs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Наименование заявителя: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lang w:val="en-US"/>
                    </w:rPr>
                  </w:pPr>
                  <w:bookmarkStart w:id="4" w:name="__DdeLink__1264_1642196365"/>
                  <w:bookmarkEnd w:id="4"/>
                  <w:r>
                    <w:rPr>
                      <w:sz w:val="22"/>
                      <w:szCs w:val="22"/>
                      <w:lang w:val="en-US" w:eastAsia="en-US"/>
                    </w:rPr>
                    <w:t><![CDATA[Общество с ограниченной ответственностью «ВОСТОЧНАЯ МЕДИЦИНСКАЯ КОМПАНИЯ»]]></w:t>
                  </w:r>
                </w:p>
              </w:tc>
            </w:tr>
            <w:tr>
              <w:trPr/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tabs>
                      <w:tab w:val="left" w:pos="708" w:leader="none"/>
                      <w:tab w:val="left" w:pos="851" w:leader="none"/>
                    </w:tabs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ИНН: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bookmarkStart w:id="5" w:name="__DdeLink__1266_1642196365"/>
                  <w:bookmarkEnd w:id="5"/>
                  <w:r>
                    <w:rPr>
                      <w:sz w:val="22"/>
                      <w:szCs w:val="22"/>
                      <w:lang w:eastAsia="en-US"/>
                    </w:rPr>
                    <w:t><![CDATA[0326043426]]></w:t>
                  </w:r>
                </w:p>
              </w:tc>
            </w:tr>
            <w:tr>
              <w:trPr/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tabs>
                      <w:tab w:val="left" w:pos="708" w:leader="none"/>
                      <w:tab w:val="left" w:pos="851" w:leader="none"/>
                    </w:tabs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КПП: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bookmarkStart w:id="6" w:name="__DdeLink__1268_1642196365"/>
                  <w:bookmarkEnd w:id="6"/>
                  <w:r>
                    <w:rPr>
                      <w:sz w:val="22"/>
                      <w:szCs w:val="22"/>
                      <w:lang w:eastAsia="en-US"/>
                    </w:rPr>
                    <w:t><![CDATA[032601001]]></w:t>
                  </w:r>
                </w:p>
              </w:tc>
            </w:tr>
            <w:tr>
              <w:trPr/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tabs>
                      <w:tab w:val="left" w:pos="708" w:leader="none"/>
                      <w:tab w:val="left" w:pos="851" w:leader="none"/>
                    </w:tabs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ОГРН: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bookmarkStart w:id="7" w:name="__DdeLink__1270_1642196365"/>
                  <w:bookmarkEnd w:id="7"/>
                  <w:r>
                    <w:rPr>
                      <w:sz w:val="22"/>
                      <w:szCs w:val="22"/>
                      <w:lang w:eastAsia="en-US"/>
                    </w:rPr>
                    <w:t><![CDATA[1070326002680]]></w:t>
                  </w:r>
                </w:p>
              </w:tc>
            </w:tr>
            <w:tr>
              <w:trPr/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tabs>
                      <w:tab w:val="left" w:pos="708" w:leader="none"/>
                      <w:tab w:val="left" w:pos="851" w:leader="none"/>
                    </w:tabs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Тип: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<![CDATA[Юридическое лицо]]></w:t>
                  </w:r>
                </w:p>
              </w:tc>
            </w:tr>
            <w:tr>
              <w:trPr/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<![CDATA[Юридический адрес:]]>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bookmarkStart w:id="8" w:name="__DdeLink__1272_1642196365"/>
                  <w:bookmarkEnd w:id="8"/>
                  <w:r>
                    <w:rPr>
                      <w:sz w:val="22"/>
                      <w:szCs w:val="22"/>
                      <w:lang w:eastAsia="en-US"/>
                    </w:rPr>
                    <w:t><![CDATA[670000, РЕСПУБЛИКА БУРЯТИЯ, ГОРОД УЛАН-УДЭ, УЛИЦА БОРСОЕВА, ДОМ 105 2 ЭТАЖ]]></w:t>
                  </w:r>
                </w:p>
              </w:tc>
            </w:tr>
            <w:tr>
              <w:trPr>
                <w:trHeight w:val="363" w:hRule="atLeast"/>
              </w:trPr>
              <w:tc>
                <w:tcPr>
                  <w:tcW w:w="9209" w:type="dxa"/>
                  <w:gridSpan w:val="4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Комиссия рассмотрела заявку на соответствие требованиям документации на участие в торгах</w:t>
                  </w:r>
                </w:p>
              </w:tc>
            </w:tr>
            <w:tr>
              <w:trPr>
                <w:trHeight w:val="222" w:hRule="atLeast"/>
              </w:trPr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Решение по заявке: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<![CDATA[Одобрена]]></w:t>
                  </w:r>
                </w:p>
              </w:tc>
            </w:tr>
          </w:tbl>
          <w:p/>
          <w:p>
            <w:pPr>
              <w:pStyle w:val="Normal"/>
              <w:tabs>
                <w:tab w:val="left" w:pos="708" w:leader="none"/>
                <w:tab w:val="left" w:pos="851" w:leader="none"/>
              </w:tabs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ru-RU" w:eastAsia="en-US" w:bidi="ar-SA"/>
              </w:rPr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ru-RU" w:eastAsia="en-US" w:bidi="ar-SA"/>
              </w:rPr>
            </w:r>
          </w:p>
          <w:p>
            <w:pPr>
              <w:pStyle w:val="Normal"/>
              <w:tabs>
                <w:tab w:val="left" w:pos="708" w:leader="none"/>
                <w:tab w:val="left" w:pos="851" w:leader="none"/>
              </w:tabs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ru-RU" w:eastAsia="en-US" w:bidi="ar-SA"/>
              </w:rPr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ru-RU" w:eastAsia="en-US" w:bidi="ar-SA"/>
              </w:rPr>
              <w:t><![CDATA[Количество поданных заявок: 1]]></w:t>
            </w:r>
          </w:p>
          <w:p>
            <w:pPr>
              <w:pStyle w:val="Normal"/>
              <w:tabs>
                <w:tab w:val="left" w:pos="708" w:leader="none"/>
                <w:tab w:val="left" w:pos="851" w:leader="none"/>
              </w:tabs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ru-RU" w:eastAsia="en-US" w:bidi="ar-SA"/>
              </w:rPr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ru-RU" w:eastAsia="en-US" w:bidi="ar-SA"/>
              </w:rPr>
              <w:t><![CDATA[Количество отклоненных заявок: 0]]></w:t>
            </w:r>
          </w:p>
          <w:p>
            <w:pPr>
              <w:pStyle w:val="Normal"/>
              <w:tabs>
                <w:tab w:val="left" w:pos="708" w:leader="none"/>
                <w:tab w:val="left" w:pos="851" w:leader="none"/>
              </w:tabs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ru-RU" w:eastAsia="en-US" w:bidi="ar-SA"/>
              </w:rPr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ru-RU" w:eastAsia="en-US" w:bidi="ar-SA"/>
              </w:rPr>
            </w:r>
          </w:p>
          <w:p>
            <w:pPr>
              <w:pStyle w:val="Normal"/>
              <w:tabs>
                <w:tab w:val="left" w:pos="708" w:leader="none"/>
                <w:tab w:val="left" w:pos="851" w:leader="none"/>
              </w:tabs>
              <w:rPr/>
            </w:pPr>
            <w:r>
              <w:rPr>
                <w:lang w:eastAsia="en-US"/>
              </w:rPr>
              <w:t><![CDATA[3.1.4 Решение по лоту]]></w:t>
            </w:r>
          </w:p>
          <w:p>
            <w:pPr>
              <w:pStyle w:val="Normal"/>
              <w:shd w:val="clear" w:color="000000" w:themeTint="0" w:themeShade="0" w:fill="FFFFFF" w:themeFillTint="0" w:themeFillShade="0"/>
              <w:tabs>
                <w:tab w:val="left" w:pos="708" w:leader="none"/>
                <w:tab w:val="left" w:pos="851" w:leader="none"/>
              </w:tabs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ru-RU" w:eastAsia="en-US" w:bidi="ar-SA"/>
              </w:rPr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ru-RU" w:eastAsia="en-US" w:bidi="ar-SA"/>
              </w:rPr>
            </w:r>
          </w:p>
          <w:p>
            <w:pPr>
              <w:pStyle w:val="TextBody"/>
              <w:jc w:val="both"/>
              <w:rPr/>
            </w:pPr>
            <w:r>
              <w:rPr>
                <w:lang w:eastAsia="en-US"/>
              </w:rPr>
              <w:t><![CDATA[3.1.4.1 На основании результатов рассмотрения заявок на соответствие требованиям, установленным в документации к закупке, признать закупку по лоту несостоявшейся. Конкурентная закупка признана несостоявшейся в связи с тем, что на участие в закупке подана только одна заявка.]]></w:t>
            </w:r>
          </w:p>
          <w:p>
            <w:pPr>
              <w:pStyle w:val="TextBody"/>
              <w:jc w:val="both"/>
              <w:rPr>
                <w:rFonts w:eastAsia="Times New Roman"/>
                <w:color w:val="00000A"/>
                <w:highlight w:val="white"/>
                <w:lang w:val="en-US" w:eastAsia="en-US"/>
              </w:rPr>
            </w:pPr>
            <w:r>
              <w:rPr>
                <w:rFonts w:eastAsia="Times New Roman"/>
                <w:color w:val="00000A"/>
                <w:highlight w:val="white"/>
                <w:lang w:val="en-US" w:eastAsia="en-US"/>
              </w:rPr>
            </w:r>
          </w:p>
          <w:tbl>
            <w:tblPr>
              <w:tblW w:w="9212" w:type="dxa"/>
              <w:jc w:val="left"/>
              <w:tblInd w:w="0" w:type="dxa"/>
              <w:tblBorders/>
              <w:tblCellMar>
                <w:top w:w="55" w:type="dxa"/>
                <w:left w:w="55" w:type="dxa"/>
                <w:bottom w:w="55" w:type="dxa"/>
                <w:right w:w="55" w:type="dxa"/>
              </w:tblCellMar>
            </w:tblPr>
            <w:tblGrid>
              <w:gridCol w:w="9212"/>
            </w:tblGrid>
            <w:tr>
              <w:trPr/>
              <w:tc>
                <w:tcPr>
                  <w:tcW w:w="9212" w:type="dxa"/>
                  <w:tcBorders/>
                  <w:shd w:fill="auto" w:val="clear"/>
                </w:tcPr>
                <w:p>
                  <w:pPr>
                    <w:pStyle w:val="Style22"/>
                    <w:rPr>
                      <w:lang w:val="en-US"/>
                    </w:rPr>
                  </w:pPr>
                  <w:r>
                    <w:rPr>
                      <w:lang w:val="en-US"/>
                    </w:rPr>
                  </w:r>
                </w:p>
              </w:tc>
            </w:tr>
          </w:tbl>
          <w:p>
            <w:pPr>
              <w:pStyle w:val="TextBody"/>
              <w:spacing w:before="0" w:after="120"/>
              <w:jc w:val="both"/>
              <w:rPr>
                <w:rFonts w:ascii="Times New Roman" w:hAnsi="Times New Roman" w:eastAsia="Times New Roman" w:cs="Times New Roman"/>
                <w:color w:val="00000A"/>
                <w:sz w:val="24"/>
                <w:szCs w:val="24"/>
                <w:highlight w:val="white"/>
                <w:lang w:val="en-US" w:eastAsia="en-US" w:bidi="ar-SA"/>
              </w:rPr>
            </w:pPr>
            <w:r>
              <w:rPr>
                <w:rFonts w:eastAsia="Times New Roman" w:cs="Times New Roman"/>
                <w:color w:val="00000A"/>
                <w:sz w:val="24"/>
                <w:szCs w:val="24"/>
                <w:highlight w:val="white"/>
                <w:lang w:val="en-US" w:eastAsia="en-US" w:bidi="ar-SA"/>
              </w:rPr>
            </w:r>
          </w:p>
        </w:tc>
      </w:tr>
    </w:tbl>
    <w:p/>
    <w:p>
      <w:pPr>
        <w:pStyle w:val="Normal"/>
        <w:tabs>
          <w:tab w:val="left" w:pos="708" w:leader="none"/>
          <w:tab w:val="left" w:pos="851" w:leader="none"/>
        </w:tabs>
        <w:spacing w:before="397" w:after="113"/>
        <w:jc w:val="center"/>
        <w:rPr/>
      </w:pPr>
      <w:r>
        <w:rPr>
          <w:sz w:val="28"/>
          <w:szCs w:val="28"/>
          <w:lang w:eastAsia="en-US"/>
        </w:rPr>
        <w:t>4. Решение комиссии</w:t>
      </w:r>
    </w:p>
    <w:p>
      <w:pPr>
        <w:pStyle w:val="TextBody"/>
        <w:tabs>
          <w:tab w:val="left" w:pos="708" w:leader="none"/>
          <w:tab w:val="left" w:pos="851" w:leader="none"/>
        </w:tabs>
        <w:spacing w:before="0" w:after="0"/>
        <w:jc w:val="both"/>
        <w:rPr/>
      </w:pPr>
      <w:r>
        <w:rPr>
          <w:lang w:eastAsia="en-US"/>
        </w:rPr>
        <w:t>4.1.</w:t>
        <w:tab/>
        <w:t>На основании результатов подведения итогов, признать процедуру несостоявшейся. Принято решение: По лоту E255201-1 заключить договор с участником Общество с ограниченной ответственностью «ВОСТОЧНАЯ МЕДИЦИНСКАЯ КОМПАНИЯ» на сумму 285061.00 (Российский рубль).</w:t>
      </w:r>
    </w:p>
    <w:p>
      <w:pPr>
        <w:pStyle w:val="TextBody"/>
        <w:tabs>
          <w:tab w:val="left" w:pos="708" w:leader="none"/>
          <w:tab w:val="left" w:pos="851" w:leader="none"/>
        </w:tabs>
        <w:spacing w:before="0" w:after="0"/>
        <w:jc w:val="both"/>
        <w:rPr>
          <w:lang w:eastAsia="en-US"/>
        </w:rPr>
      </w:pPr>
      <w:r>
        <w:rPr>
          <w:lang w:eastAsia="en-US"/>
        </w:rPr>
      </w:r>
    </w:p>
    <w:tbl>
      <w:tblPr>
        <w:tblW w:w="5000" w:type="pct"/>
        <w:jc w:val="left"/>
        <w:tblInd w:w="35" w:type="dxa"/>
        <w:tblBorders>
          <w:top w:val="single" w:sz="2" w:space="0" w:color="000001"/>
          <w:left w:val="single" w:sz="2" w:space="0" w:color="000001"/>
        </w:tblBorders>
        <w:tblCellMar>
          <w:top w:w="113" w:type="dxa"/>
          <w:left w:w="113" w:type="dxa"/>
          <w:bottom w:w="113" w:type="dxa"/>
          <w:right w:w="113" w:type="dxa"/>
        </w:tblCellMar>
      </w:tblPr>
      <w:tblGrid>
        <w:gridCol w:w="3038"/>
        <w:gridCol w:w="3052"/>
        <w:gridCol w:w="3122"/>
      </w:tblGrid>
      <w:tr>
        <w:trPr/>
        <w:tc>
          <w:tcPr>
            <w:tcW w:w="3038" w:type="dxa"/>
            <w:tcBorders>
              <w:top w:val="single" w:sz="2" w:space="0" w:color="000001"/>
              <w:left w:val="single" w:sz="2" w:space="0" w:color="000001"/>
            </w:tcBorders>
            <w:shd w:color="auto" w:fill="FFFFFF" w:val="clear"/>
          </w:tcPr>
          <w:p>
            <w:pPr>
              <w:pStyle w:val="Style22"/>
              <w:spacing w:before="0" w:after="0"/>
              <w:jc w:val="center"/>
              <w:rPr/>
            </w:pPr>
            <w:r>
              <w:rPr/>
              <w:t xml:space="preserve"> </w:t>
            </w:r>
            <w:r>
              <w:rPr/>
              <w:t>Роль</w:t>
            </w:r>
          </w:p>
        </w:tc>
        <w:tc>
          <w:tcPr>
            <w:tcW w:w="3052" w:type="dxa"/>
            <w:tcBorders>
              <w:top w:val="single" w:sz="2" w:space="0" w:color="000001"/>
              <w:left w:val="single" w:sz="2" w:space="0" w:color="000001"/>
            </w:tcBorders>
            <w:shd w:color="auto" w:fill="FFFFFF" w:val="clear"/>
          </w:tcPr>
          <w:p>
            <w:pPr>
              <w:pStyle w:val="Style22"/>
              <w:spacing w:before="0" w:after="0"/>
              <w:jc w:val="center"/>
              <w:rPr/>
            </w:pPr>
            <w:r>
              <w:rPr/>
              <w:t>Член комиссии</w:t>
            </w:r>
          </w:p>
        </w:tc>
        <w:tc>
          <w:tcPr>
            <w:tcW w:w="3122" w:type="dxa"/>
            <w:tcBorders>
              <w:top w:val="single" w:sz="2" w:space="0" w:color="000001"/>
              <w:left w:val="single" w:sz="2" w:space="0" w:color="000001"/>
              <w:right w:val="single" w:sz="2" w:space="0" w:color="000001"/>
              <w:insideV w:val="single" w:sz="2" w:space="0" w:color="000001"/>
            </w:tcBorders>
            <w:shd w:color="auto" w:fill="FFFFFF" w:val="clear"/>
            <w:vAlign w:val="center"/>
          </w:tcPr>
          <w:p>
            <w:pPr>
              <w:pStyle w:val="Normal"/>
              <w:spacing w:before="0" w:after="0"/>
              <w:jc w:val="center"/>
              <w:rPr/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ru-RU" w:eastAsia="ru-RU" w:bidi="ar-SA"/>
              </w:rPr>
              <w:t>Решение</w:t>
            </w:r>
          </w:p>
        </w:tc>
      </w:tr>
      <w:tr>
        <w:trPr/>
        <w:tc>
          <w:tcPr>
            <w:tcW w:w="303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Style22"/>
              <w:spacing w:before="0" w:after="0"/>
              <w:jc w:val="center"/>
              <w:rPr/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ru-RU" w:eastAsia="ru-RU" w:bidi="ar-SA"/>
              </w:rPr>
              <w:t><![CDATA[Председатель комиссии]]></w:t>
            </w:r>
          </w:p>
        </w:tc>
        <w:tc>
          <w:tcPr>
            <w:tcW w:w="305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  <w:vAlign w:val="center"/>
          </w:tcPr>
          <w:p>
            <w:pPr>
              <w:pStyle w:val="Style22"/>
              <w:spacing w:before="0" w:after="0"/>
              <w:jc w:val="center"/>
              <w:rPr/>
            </w:pPr>
            <w:r>
              <w:rPr>
                <w:lang w:val="en-US"/>
              </w:rPr>
              <w:t><![CDATA[Гатапова Анна Станиславовна]]></w:t>
            </w:r>
          </w:p>
        </w:tc>
        <w:tc>
          <w:tcPr>
            <w:tcW w:w="312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  <w:vAlign w:val="center"/>
          </w:tcPr>
          <w:p>
            <w:pPr>
              <w:pStyle w:val="Normal"/>
              <w:spacing w:before="0" w:after="0"/>
              <w:jc w:val="center"/>
              <w:rPr/>
            </w:pPr>
            <w:bookmarkStart w:id="9" w:name="__DdeLink__21948_451928332"/>
            <w:r>
              <w:rPr>
                <w:rFonts w:eastAsia="Calibri" w:cs="Times New Roman"/>
                <w:color w:val="000000"/>
                <w:sz w:val="24"/>
                <w:szCs w:val="24"/>
                <w:lang w:val="ru-RU" w:eastAsia="ru-RU" w:bidi="ar-SA"/>
              </w:rPr>
              <w:t>Согласен</w:t>
            </w:r>
            <w:bookmarkEnd w:id="9"/>
          </w:p>
        </w:tc>
      </w:tr>
      <w:tr>
        <w:trPr/>
        <w:tc>
          <w:tcPr>
            <w:tcW w:w="303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Style22"/>
              <w:spacing w:before="0" w:after="0"/>
              <w:jc w:val="center"/>
              <w:rPr/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ru-RU" w:eastAsia="ru-RU" w:bidi="ar-SA"/>
              </w:rPr>
              <w:t><![CDATA[Член комиссии]]></w:t>
            </w:r>
          </w:p>
        </w:tc>
        <w:tc>
          <w:tcPr>
            <w:tcW w:w="305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  <w:vAlign w:val="center"/>
          </w:tcPr>
          <w:p>
            <w:pPr>
              <w:pStyle w:val="Style22"/>
              <w:spacing w:before="0" w:after="0"/>
              <w:jc w:val="center"/>
              <w:rPr/>
            </w:pPr>
            <w:r>
              <w:rPr>
                <w:lang w:val="en-US"/>
              </w:rPr>
              <w:t><![CDATA[Кушнарев Алексей Леонидович]]></w:t>
            </w:r>
          </w:p>
        </w:tc>
        <w:tc>
          <w:tcPr>
            <w:tcW w:w="312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  <w:vAlign w:val="center"/>
          </w:tcPr>
          <w:p>
            <w:pPr>
              <w:pStyle w:val="Normal"/>
              <w:spacing w:before="0" w:after="0"/>
              <w:jc w:val="center"/>
              <w:rPr/>
            </w:pPr>
            <w:bookmarkStart w:id="9" w:name="__DdeLink__21948_451928332"/>
            <w:r>
              <w:rPr>
                <w:rFonts w:eastAsia="Calibri" w:cs="Times New Roman"/>
                <w:color w:val="000000"/>
                <w:sz w:val="24"/>
                <w:szCs w:val="24"/>
                <w:lang w:val="ru-RU" w:eastAsia="ru-RU" w:bidi="ar-SA"/>
              </w:rPr>
              <w:t>Согласен</w:t>
            </w:r>
            <w:bookmarkEnd w:id="9"/>
          </w:p>
        </w:tc>
      </w:tr>
      <w:tr>
        <w:trPr/>
        <w:tc>
          <w:tcPr>
            <w:tcW w:w="303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Style22"/>
              <w:spacing w:before="0" w:after="0"/>
              <w:jc w:val="center"/>
              <w:rPr/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ru-RU" w:eastAsia="ru-RU" w:bidi="ar-SA"/>
              </w:rPr>
              <w:t><![CDATA[Член комиссии]]></w:t>
            </w:r>
          </w:p>
        </w:tc>
        <w:tc>
          <w:tcPr>
            <w:tcW w:w="305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  <w:vAlign w:val="center"/>
          </w:tcPr>
          <w:p>
            <w:pPr>
              <w:pStyle w:val="Style22"/>
              <w:spacing w:before="0" w:after="0"/>
              <w:jc w:val="center"/>
              <w:rPr/>
            </w:pPr>
            <w:r>
              <w:rPr>
                <w:lang w:val="en-US"/>
              </w:rPr>
              <w:t><![CDATA[Тарнуева Ирина Кирилловна]]></w:t>
            </w:r>
          </w:p>
        </w:tc>
        <w:tc>
          <w:tcPr>
            <w:tcW w:w="312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  <w:vAlign w:val="center"/>
          </w:tcPr>
          <w:p>
            <w:pPr>
              <w:pStyle w:val="Normal"/>
              <w:spacing w:before="0" w:after="0"/>
              <w:jc w:val="center"/>
              <w:rPr/>
            </w:pPr>
            <w:bookmarkStart w:id="9" w:name="__DdeLink__21948_451928332"/>
            <w:r>
              <w:rPr>
                <w:rFonts w:eastAsia="Calibri" w:cs="Times New Roman"/>
                <w:color w:val="000000"/>
                <w:sz w:val="24"/>
                <w:szCs w:val="24"/>
                <w:lang w:val="ru-RU" w:eastAsia="ru-RU" w:bidi="ar-SA"/>
              </w:rPr>
              <w:t>Согласен</w:t>
            </w:r>
            <w:bookmarkEnd w:id="9"/>
          </w:p>
        </w:tc>
      </w:tr>
      <w:tr>
        <w:trPr/>
        <w:tc>
          <w:tcPr>
            <w:tcW w:w="303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Style22"/>
              <w:spacing w:before="0" w:after="0"/>
              <w:jc w:val="center"/>
              <w:rPr/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ru-RU" w:eastAsia="ru-RU" w:bidi="ar-SA"/>
              </w:rPr>
              <w:t><![CDATA[Член комиссии]]></w:t>
            </w:r>
          </w:p>
        </w:tc>
        <w:tc>
          <w:tcPr>
            <w:tcW w:w="305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  <w:vAlign w:val="center"/>
          </w:tcPr>
          <w:p>
            <w:pPr>
              <w:pStyle w:val="Style22"/>
              <w:spacing w:before="0" w:after="0"/>
              <w:jc w:val="center"/>
              <w:rPr/>
            </w:pPr>
            <w:r>
              <w:rPr>
                <w:lang w:val="en-US"/>
              </w:rPr>
              <w:t><![CDATA[Фомина Александра Ивановна]]></w:t>
            </w:r>
          </w:p>
        </w:tc>
        <w:tc>
          <w:tcPr>
            <w:tcW w:w="312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  <w:vAlign w:val="center"/>
          </w:tcPr>
          <w:p>
            <w:pPr>
              <w:pStyle w:val="Normal"/>
              <w:spacing w:before="0" w:after="0"/>
              <w:jc w:val="center"/>
              <w:rPr/>
            </w:pPr>
            <w:bookmarkStart w:id="9" w:name="__DdeLink__21948_451928332"/>
            <w:r>
              <w:rPr>
                <w:rFonts w:eastAsia="Calibri" w:cs="Times New Roman"/>
                <w:color w:val="000000"/>
                <w:sz w:val="24"/>
                <w:szCs w:val="24"/>
                <w:lang w:val="ru-RU" w:eastAsia="ru-RU" w:bidi="ar-SA"/>
              </w:rPr>
              <w:t>Согласен</w:t>
            </w:r>
            <w:bookmarkEnd w:id="9"/>
          </w:p>
        </w:tc>
      </w:tr>
    </w:tbl>
    <w:p>
      <w:pPr>
        <w:pStyle w:val="Normal"/>
        <w:rPr/>
      </w:pPr>
      <w:r>
        <w:rPr/>
      </w:r>
    </w:p>
    <w:sectPr>
      <w:type w:val="nextPage"/>
      <w:pgSz w:w="11906" w:h="16838"/>
      <w:pgMar w:left="1843" w:right="851" w:header="0" w:top="567" w:footer="0" w:bottom="567" w:gutter="0"/>
      <w:pgNumType w:fmt="decimal"/>
      <w:formProt w:val="false"/>
      <w:textDirection w:val="lrTb"/>
      <w:docGrid w:type="default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Times New Roman">
    <w:charset w:val="01"/>
    <w:family w:val="roman"/>
    <w:pitch w:val="variable"/>
  </w:font>
  <w:font w:name="Courier New">
    <w:charset w:val="01"/>
    <w:family w:val="roman"/>
    <w:pitch w:val="variable"/>
  </w:font>
  <w:font w:name="Segoe UI">
    <w:charset w:val="01"/>
    <w:family w:val="roman"/>
    <w:pitch w:val="variable"/>
  </w:font>
  <w:font w:name="Liberation Sans">
    <w:altName w:val="Arial"/>
    <w:charset w:val="01"/>
    <w:family w:val="roman"/>
    <w:pitch w:val="variable"/>
  </w:font>
  <w:font w:name="Arial">
    <w:charset w:val="01"/>
    <w:family w:val="roman"/>
    <w:pitch w:val="variable"/>
  </w:font>
  <w:font w:name="Liberation Mono">
    <w:altName w:val="Courier New"/>
    <w:charset w:val="01"/>
    <w:family w:val="roman"/>
    <w:pitch w:val="variable"/>
  </w:font>
</w:fonts>
</file>

<file path=word/settings.xml><?xml version="1.0" encoding="utf-8"?>
<w:settings xmlns:w="http://schemas.openxmlformats.org/wordprocessingml/2006/main">
  <w:zoom w:percent="100"/>
  <w:defaultTabStop w:val="709"/>
  <w:autoHyphenation w:val="false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themeFontLang w:val="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Liberation Serif" w:hAnsi="Liberation Serif" w:eastAsia="Droid Sans Fallback" w:cs="FreeSans"/>
        <w:szCs w:val="24"/>
        <w:lang w:val="ru-RU" w:eastAsia="zh-CN" w:bidi="hi-IN"/>
      </w:rPr>
    </w:rPrDefault>
    <w:pPrDefault>
      <w:pPr/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1">
    <w:name w:val="Normal"/>
    <w:qFormat/>
    <w:pPr>
      <w:widowControl/>
      <w:tabs>
        <w:tab w:val="clear" w:pos="709"/>
        <w:tab w:val="left" w:pos="708" w:leader="none"/>
      </w:tabs>
      <w:suppressAutoHyphens w:val="true"/>
      <w:bidi w:val="0"/>
      <w:jc w:val="left"/>
    </w:pPr>
    <w:rPr>
      <w:rFonts w:ascii="Times New Roman" w:hAnsi="Times New Roman" w:eastAsia="Calibri" w:cs="Times New Roman"/>
      <w:color w:val="000000"/>
      <w:kern w:val="0"/>
      <w:sz w:val="24"/>
      <w:szCs w:val="24"/>
      <w:lang w:val="ru-RU" w:eastAsia="ru-RU" w:bidi="ar-SA"/>
    </w:rPr>
  </w:style>
  <w:style w:type="paragraph" w:styleId="Heading1">
    <w:name w:val="Heading 1"/>
    <w:basedOn w:val="Normal"/>
    <w:qFormat/>
    <w:pPr>
      <w:widowControl w:val="false"/>
      <w:bidi w:val="0"/>
      <w:jc w:val="left"/>
      <w:outlineLvl w:val="0"/>
    </w:pPr>
    <w:rPr>
      <w:rFonts w:ascii="Liberation Serif" w:hAnsi="Liberation Serif" w:eastAsia="Droid Sans Fallback" w:cs="FreeSans"/>
      <w:color w:val="00000A"/>
      <w:kern w:val="0"/>
      <w:sz w:val="20"/>
      <w:szCs w:val="24"/>
      <w:lang w:val="ru-RU" w:eastAsia="zh-CN" w:bidi="hi-IN"/>
    </w:rPr>
  </w:style>
  <w:style w:type="paragraph" w:styleId="Heading2">
    <w:name w:val="Heading 2"/>
    <w:basedOn w:val="Normal"/>
    <w:qFormat/>
    <w:pPr>
      <w:widowControl w:val="false"/>
      <w:bidi w:val="0"/>
      <w:jc w:val="left"/>
      <w:outlineLvl w:val="1"/>
    </w:pPr>
    <w:rPr>
      <w:rFonts w:ascii="Liberation Serif" w:hAnsi="Liberation Serif" w:eastAsia="Droid Sans Fallback" w:cs="FreeSans"/>
      <w:color w:val="00000A"/>
      <w:kern w:val="0"/>
      <w:sz w:val="20"/>
      <w:szCs w:val="24"/>
      <w:lang w:val="ru-RU" w:eastAsia="zh-CN" w:bidi="hi-IN"/>
    </w:rPr>
  </w:style>
  <w:style w:type="paragraph" w:styleId="Heading3">
    <w:name w:val="Heading 3"/>
    <w:basedOn w:val="Normal"/>
    <w:qFormat/>
    <w:pPr>
      <w:widowControl w:val="false"/>
      <w:bidi w:val="0"/>
      <w:jc w:val="left"/>
      <w:outlineLvl w:val="2"/>
    </w:pPr>
    <w:rPr>
      <w:rFonts w:ascii="Liberation Serif" w:hAnsi="Liberation Serif" w:eastAsia="Droid Sans Fallback" w:cs="FreeSans"/>
      <w:color w:val="00000A"/>
      <w:kern w:val="0"/>
      <w:sz w:val="20"/>
      <w:szCs w:val="24"/>
      <w:lang w:val="ru-RU" w:eastAsia="zh-CN" w:bidi="hi-IN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Style11" w:customStyle="1">
    <w:name w:val="Основной текст_"/>
    <w:qFormat/>
    <w:rPr>
      <w:rFonts w:ascii="Times New Roman" w:hAnsi="Times New Roman" w:eastAsia="Times New Roman" w:cs="Times New Roman"/>
      <w:sz w:val="20"/>
      <w:szCs w:val="20"/>
      <w:shd w:fill="FFFFFF" w:val="clear"/>
    </w:rPr>
  </w:style>
  <w:style w:type="character" w:styleId="2" w:customStyle="1">
    <w:name w:val="Основной текст (2)_"/>
    <w:qFormat/>
    <w:rPr>
      <w:rFonts w:ascii="Times New Roman" w:hAnsi="Times New Roman" w:eastAsia="Times New Roman" w:cs="Times New Roman"/>
      <w:sz w:val="20"/>
      <w:szCs w:val="20"/>
      <w:shd w:fill="FFFFFF" w:val="clear"/>
    </w:rPr>
  </w:style>
  <w:style w:type="character" w:styleId="Style12" w:customStyle="1">
    <w:name w:val="Подпись к таблице"/>
    <w:qFormat/>
    <w:rPr>
      <w:rFonts w:ascii="Times New Roman" w:hAnsi="Times New Roman" w:eastAsia="Times New Roman" w:cs="Times New Roman"/>
      <w:b w:val="false"/>
      <w:bCs w:val="false"/>
      <w:i w:val="false"/>
      <w:iCs w:val="false"/>
      <w:caps w:val="false"/>
      <w:smallCaps w:val="false"/>
      <w:strike w:val="false"/>
      <w:dstrike w:val="false"/>
      <w:color w:val="000000"/>
      <w:spacing w:val="0"/>
      <w:w w:val="100"/>
      <w:position w:val="0"/>
      <w:sz w:val="20"/>
      <w:sz w:val="20"/>
      <w:szCs w:val="20"/>
      <w:u w:val="single"/>
      <w:vertAlign w:val="baseline"/>
      <w:lang w:val="ru-RU"/>
    </w:rPr>
  </w:style>
  <w:style w:type="character" w:styleId="1" w:customStyle="1">
    <w:name w:val="Основной текст1"/>
    <w:qFormat/>
    <w:rPr>
      <w:rFonts w:ascii="Times New Roman" w:hAnsi="Times New Roman" w:eastAsia="Times New Roman" w:cs="Times New Roman"/>
      <w:color w:val="000000"/>
      <w:spacing w:val="0"/>
      <w:w w:val="100"/>
      <w:position w:val="0"/>
      <w:sz w:val="20"/>
      <w:sz w:val="20"/>
      <w:szCs w:val="20"/>
      <w:shd w:fill="FFFFFF" w:val="clear"/>
      <w:vertAlign w:val="baseline"/>
      <w:lang w:val="ru-RU"/>
    </w:rPr>
  </w:style>
  <w:style w:type="character" w:styleId="21" w:customStyle="1">
    <w:name w:val="Подпись к таблице (2)_"/>
    <w:qFormat/>
    <w:rPr>
      <w:rFonts w:ascii="Times New Roman" w:hAnsi="Times New Roman" w:eastAsia="Times New Roman" w:cs="Times New Roman"/>
      <w:sz w:val="20"/>
      <w:szCs w:val="20"/>
      <w:shd w:fill="FFFFFF" w:val="clear"/>
    </w:rPr>
  </w:style>
  <w:style w:type="character" w:styleId="11" w:customStyle="1">
    <w:name w:val="Заголовок №1_"/>
    <w:qFormat/>
    <w:rPr>
      <w:rFonts w:ascii="Times New Roman" w:hAnsi="Times New Roman" w:eastAsia="Times New Roman" w:cs="Times New Roman"/>
      <w:sz w:val="20"/>
      <w:szCs w:val="20"/>
      <w:shd w:fill="FFFFFF" w:val="clear"/>
    </w:rPr>
  </w:style>
  <w:style w:type="character" w:styleId="Style13" w:customStyle="1">
    <w:name w:val="Основной текст + Полужирный"/>
    <w:qFormat/>
    <w:rPr>
      <w:rFonts w:ascii="Times New Roman" w:hAnsi="Times New Roman" w:eastAsia="Times New Roman" w:cs="Times New Roman"/>
      <w:color w:val="000000"/>
      <w:spacing w:val="0"/>
      <w:w w:val="100"/>
      <w:position w:val="0"/>
      <w:sz w:val="20"/>
      <w:sz w:val="20"/>
      <w:szCs w:val="20"/>
      <w:shd w:fill="FFFFFF" w:val="clear"/>
      <w:vertAlign w:val="baseline"/>
      <w:lang w:val="ru-RU"/>
    </w:rPr>
  </w:style>
  <w:style w:type="character" w:styleId="4" w:customStyle="1">
    <w:name w:val="Основной текст (4) + Не полужирный;Не курсив"/>
    <w:qFormat/>
    <w:rPr>
      <w:rFonts w:ascii="Times New Roman" w:hAnsi="Times New Roman" w:eastAsia="Times New Roman" w:cs="Times New Roman"/>
      <w:b/>
      <w:bCs/>
      <w:i/>
      <w:iCs/>
      <w:caps w:val="false"/>
      <w:smallCaps w:val="false"/>
      <w:strike w:val="false"/>
      <w:dstrike w:val="false"/>
      <w:color w:val="000000"/>
      <w:spacing w:val="0"/>
      <w:w w:val="100"/>
      <w:position w:val="0"/>
      <w:sz w:val="20"/>
      <w:sz w:val="20"/>
      <w:szCs w:val="20"/>
      <w:u w:val="none"/>
      <w:vertAlign w:val="baseline"/>
      <w:lang w:val="ru-RU"/>
    </w:rPr>
  </w:style>
  <w:style w:type="character" w:styleId="41" w:customStyle="1">
    <w:name w:val="Основной текст (4)_"/>
    <w:qFormat/>
    <w:rPr>
      <w:rFonts w:ascii="Times New Roman" w:hAnsi="Times New Roman" w:eastAsia="Times New Roman" w:cs="Times New Roman"/>
      <w:i/>
      <w:iCs/>
      <w:sz w:val="20"/>
      <w:szCs w:val="20"/>
      <w:shd w:fill="FFFFFF" w:val="clear"/>
    </w:rPr>
  </w:style>
  <w:style w:type="character" w:styleId="Style14" w:customStyle="1">
    <w:name w:val="Основной текст + Полужирный;Курсив"/>
    <w:qFormat/>
    <w:rPr>
      <w:rFonts w:ascii="Times New Roman" w:hAnsi="Times New Roman" w:eastAsia="Times New Roman" w:cs="Times New Roman"/>
      <w:i/>
      <w:iCs/>
      <w:caps w:val="false"/>
      <w:smallCaps w:val="false"/>
      <w:color w:val="000000"/>
      <w:spacing w:val="0"/>
      <w:w w:val="100"/>
      <w:position w:val="0"/>
      <w:sz w:val="20"/>
      <w:sz w:val="20"/>
      <w:szCs w:val="20"/>
      <w:shd w:fill="FFFFFF" w:val="clear"/>
      <w:vertAlign w:val="baseline"/>
      <w:lang w:val="ru-RU"/>
    </w:rPr>
  </w:style>
  <w:style w:type="character" w:styleId="5" w:customStyle="1">
    <w:name w:val="Основной текст (5)_"/>
    <w:qFormat/>
    <w:rPr>
      <w:rFonts w:ascii="Times New Roman" w:hAnsi="Times New Roman" w:eastAsia="Times New Roman" w:cs="Times New Roman"/>
      <w:sz w:val="16"/>
      <w:szCs w:val="16"/>
      <w:shd w:fill="FFFFFF" w:val="clear"/>
    </w:rPr>
  </w:style>
  <w:style w:type="character" w:styleId="Style15" w:customStyle="1">
    <w:name w:val="Интернет-ссылка"/>
    <w:basedOn w:val="DefaultParagraphFont"/>
    <w:qFormat/>
    <w:rPr>
      <w:color w:val="0000FF"/>
      <w:u w:val="single"/>
      <w:lang w:val="ru-RU" w:eastAsia="ru-RU" w:bidi="ru-RU"/>
    </w:rPr>
  </w:style>
  <w:style w:type="character" w:styleId="Annotationreference">
    <w:name w:val="annotation reference"/>
    <w:basedOn w:val="DefaultParagraphFont"/>
    <w:qFormat/>
    <w:rPr>
      <w:sz w:val="16"/>
      <w:szCs w:val="16"/>
    </w:rPr>
  </w:style>
  <w:style w:type="character" w:styleId="Style16" w:customStyle="1">
    <w:name w:val="Текст примечания Знак"/>
    <w:basedOn w:val="DefaultParagraphFont"/>
    <w:qFormat/>
    <w:rPr>
      <w:rFonts w:ascii="Courier New" w:hAnsi="Courier New" w:eastAsia="Courier New" w:cs="Courier New"/>
      <w:color w:val="000000"/>
    </w:rPr>
  </w:style>
  <w:style w:type="character" w:styleId="Style17" w:customStyle="1">
    <w:name w:val="Тема примечания Знак"/>
    <w:basedOn w:val="Style16"/>
    <w:qFormat/>
    <w:rPr>
      <w:rFonts w:ascii="Courier New" w:hAnsi="Courier New" w:eastAsia="Courier New" w:cs="Courier New"/>
      <w:b/>
      <w:bCs/>
      <w:color w:val="000000"/>
    </w:rPr>
  </w:style>
  <w:style w:type="character" w:styleId="Style18" w:customStyle="1">
    <w:name w:val="Текст выноски Знак"/>
    <w:basedOn w:val="DefaultParagraphFont"/>
    <w:qFormat/>
    <w:rPr>
      <w:rFonts w:ascii="Segoe UI" w:hAnsi="Segoe UI" w:eastAsia="Courier New" w:cs="Segoe UI"/>
      <w:color w:val="000000"/>
      <w:sz w:val="18"/>
      <w:szCs w:val="18"/>
    </w:rPr>
  </w:style>
  <w:style w:type="character" w:styleId="ListLabel2" w:customStyle="1">
    <w:name w:val="ListLabel 2"/>
    <w:qFormat/>
    <w:rPr>
      <w:rFonts w:cs="Symbol"/>
    </w:rPr>
  </w:style>
  <w:style w:type="character" w:styleId="ListLabel3" w:customStyle="1">
    <w:name w:val="ListLabel 3"/>
    <w:qFormat/>
    <w:rPr>
      <w:rFonts w:cs="Symbol"/>
    </w:rPr>
  </w:style>
  <w:style w:type="character" w:styleId="ListLabel4" w:customStyle="1">
    <w:name w:val="ListLabel 4"/>
    <w:qFormat/>
    <w:rPr>
      <w:rFonts w:cs="Symbol"/>
    </w:rPr>
  </w:style>
  <w:style w:type="character" w:styleId="ListLabel5" w:customStyle="1">
    <w:name w:val="ListLabel 5"/>
    <w:qFormat/>
    <w:rPr>
      <w:rFonts w:cs="Symbol"/>
    </w:rPr>
  </w:style>
  <w:style w:type="character" w:styleId="ListLabel6" w:customStyle="1">
    <w:name w:val="ListLabel 6"/>
    <w:qFormat/>
    <w:rPr>
      <w:rFonts w:cs="Symbol"/>
    </w:rPr>
  </w:style>
  <w:style w:type="character" w:styleId="ListLabel7" w:customStyle="1">
    <w:name w:val="ListLabel 7"/>
    <w:qFormat/>
    <w:rPr>
      <w:rFonts w:cs="Symbol"/>
    </w:rPr>
  </w:style>
  <w:style w:type="paragraph" w:styleId="Heading">
    <w:name w:val="Heading"/>
    <w:basedOn w:val="Normal"/>
    <w:next w:val="TextBody"/>
    <w:qFormat/>
    <w:pPr>
      <w:keepNext w:val="true"/>
      <w:spacing w:before="240" w:after="120"/>
    </w:pPr>
    <w:rPr>
      <w:rFonts w:ascii="Liberation Sans" w:hAnsi="Liberation Sans" w:eastAsia="Noto Sans CJK SC Regular" w:cs="Lohit Devanagari"/>
      <w:sz w:val="28"/>
      <w:szCs w:val="28"/>
    </w:rPr>
  </w:style>
  <w:style w:type="paragraph" w:styleId="TextBody" w:customStyle="1">
    <w:name w:val="Body Text"/>
    <w:basedOn w:val="Normal"/>
    <w:qFormat/>
    <w:pPr>
      <w:spacing w:lineRule="auto" w:line="288" w:before="0" w:after="140"/>
    </w:pPr>
    <w:rPr/>
  </w:style>
  <w:style w:type="paragraph" w:styleId="List">
    <w:name w:val="List"/>
    <w:basedOn w:val="TextBody"/>
    <w:qFormat/>
    <w:pPr/>
    <w:rPr>
      <w:rFonts w:cs="FreeSans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FreeSans"/>
      <w:i/>
      <w:iCs/>
      <w:sz w:val="24"/>
      <w:szCs w:val="24"/>
    </w:rPr>
  </w:style>
  <w:style w:type="paragraph" w:styleId="Index">
    <w:name w:val="Index"/>
    <w:basedOn w:val="Normal"/>
    <w:qFormat/>
    <w:pPr>
      <w:suppressLineNumbers/>
    </w:pPr>
    <w:rPr>
      <w:rFonts w:cs="Lohit Devanagari"/>
    </w:rPr>
  </w:style>
  <w:style w:type="paragraph" w:styleId="Style19" w:customStyle="1">
    <w:name w:val="Заголовок"/>
    <w:basedOn w:val="Normal"/>
    <w:qFormat/>
    <w:pPr>
      <w:keepNext w:val="true"/>
      <w:spacing w:before="240" w:after="120"/>
    </w:pPr>
    <w:rPr>
      <w:rFonts w:ascii="Arial" w:hAnsi="Arial" w:eastAsia="Droid Sans" w:cs="FreeSans"/>
      <w:sz w:val="28"/>
      <w:szCs w:val="28"/>
    </w:rPr>
  </w:style>
  <w:style w:type="paragraph" w:styleId="Style20" w:customStyle="1">
    <w:name w:val="Указатель"/>
    <w:basedOn w:val="Normal"/>
    <w:qFormat/>
    <w:pPr>
      <w:suppressLineNumbers/>
    </w:pPr>
    <w:rPr>
      <w:rFonts w:cs="FreeSans"/>
    </w:rPr>
  </w:style>
  <w:style w:type="paragraph" w:styleId="Caption1">
    <w:name w:val="caption"/>
    <w:basedOn w:val="Normal"/>
    <w:qFormat/>
    <w:pPr>
      <w:suppressLineNumbers/>
      <w:spacing w:before="120" w:after="120"/>
    </w:pPr>
    <w:rPr>
      <w:rFonts w:cs="FreeSans"/>
      <w:i/>
      <w:iCs/>
    </w:rPr>
  </w:style>
  <w:style w:type="paragraph" w:styleId="Title1" w:customStyle="1">
    <w:name w:val="Title1"/>
    <w:basedOn w:val="Normal"/>
    <w:qFormat/>
    <w:pPr>
      <w:suppressLineNumbers/>
      <w:spacing w:before="120" w:after="120"/>
      <w:jc w:val="center"/>
    </w:pPr>
    <w:rPr>
      <w:rFonts w:cs="FreeSans"/>
      <w:b/>
      <w:bCs/>
      <w:i/>
      <w:iCs/>
      <w:sz w:val="36"/>
      <w:szCs w:val="36"/>
    </w:rPr>
  </w:style>
  <w:style w:type="paragraph" w:styleId="Indexheading">
    <w:name w:val="index heading"/>
    <w:basedOn w:val="Normal"/>
    <w:qFormat/>
    <w:pPr>
      <w:suppressLineNumbers/>
    </w:pPr>
    <w:rPr>
      <w:rFonts w:cs="FreeSans"/>
    </w:rPr>
  </w:style>
  <w:style w:type="paragraph" w:styleId="Subtitle">
    <w:name w:val="Subtitle"/>
    <w:basedOn w:val="Style19"/>
    <w:qFormat/>
    <w:pPr>
      <w:jc w:val="center"/>
    </w:pPr>
    <w:rPr>
      <w:i/>
      <w:iCs/>
    </w:rPr>
  </w:style>
  <w:style w:type="paragraph" w:styleId="22" w:customStyle="1">
    <w:name w:val="Основной текст2"/>
    <w:basedOn w:val="Normal"/>
    <w:qFormat/>
    <w:pPr>
      <w:shd w:val="clear" w:fill="FFFFFF"/>
      <w:spacing w:lineRule="exact" w:line="250"/>
    </w:pPr>
    <w:rPr>
      <w:rFonts w:eastAsia="Times New Roman"/>
      <w:color w:val="00000A"/>
      <w:sz w:val="20"/>
      <w:szCs w:val="20"/>
      <w:lang w:val="en-US" w:eastAsia="en-US"/>
    </w:rPr>
  </w:style>
  <w:style w:type="paragraph" w:styleId="23" w:customStyle="1">
    <w:name w:val="Основной текст (2)"/>
    <w:basedOn w:val="Normal"/>
    <w:qFormat/>
    <w:pPr>
      <w:shd w:val="clear" w:fill="FFFFFF"/>
      <w:spacing w:lineRule="exact" w:line="490"/>
      <w:ind w:firstLine="560"/>
    </w:pPr>
    <w:rPr>
      <w:rFonts w:eastAsia="Times New Roman"/>
      <w:b/>
      <w:bCs/>
      <w:color w:val="00000A"/>
      <w:sz w:val="20"/>
      <w:szCs w:val="20"/>
      <w:lang w:val="en-US" w:eastAsia="en-US"/>
    </w:rPr>
  </w:style>
  <w:style w:type="paragraph" w:styleId="24" w:customStyle="1">
    <w:name w:val="Подпись к таблице (2)"/>
    <w:basedOn w:val="Normal"/>
    <w:qFormat/>
    <w:pPr>
      <w:shd w:val="clear" w:fill="FFFFFF"/>
      <w:spacing w:lineRule="atLeast" w:line="100"/>
    </w:pPr>
    <w:rPr>
      <w:rFonts w:eastAsia="Times New Roman"/>
      <w:b/>
      <w:bCs/>
      <w:color w:val="00000A"/>
      <w:sz w:val="20"/>
      <w:szCs w:val="20"/>
      <w:lang w:val="en-US" w:eastAsia="en-US"/>
    </w:rPr>
  </w:style>
  <w:style w:type="paragraph" w:styleId="12" w:customStyle="1">
    <w:name w:val="Заголовок №1"/>
    <w:basedOn w:val="Normal"/>
    <w:qFormat/>
    <w:pPr>
      <w:shd w:val="clear" w:fill="FFFFFF"/>
      <w:spacing w:lineRule="atLeast" w:line="100" w:before="180" w:after="120"/>
    </w:pPr>
    <w:rPr>
      <w:rFonts w:eastAsia="Times New Roman"/>
      <w:color w:val="00000A"/>
      <w:sz w:val="20"/>
      <w:szCs w:val="20"/>
      <w:lang w:val="en-US" w:eastAsia="en-US"/>
    </w:rPr>
  </w:style>
  <w:style w:type="paragraph" w:styleId="51" w:customStyle="1">
    <w:name w:val="Основной текст (5)"/>
    <w:basedOn w:val="Normal"/>
    <w:qFormat/>
    <w:pPr>
      <w:shd w:val="clear" w:fill="FFFFFF"/>
      <w:spacing w:lineRule="atLeast" w:line="100" w:before="480" w:after="60"/>
    </w:pPr>
    <w:rPr>
      <w:rFonts w:eastAsia="Times New Roman"/>
      <w:b/>
      <w:bCs/>
      <w:color w:val="00000A"/>
      <w:sz w:val="16"/>
      <w:szCs w:val="16"/>
      <w:lang w:val="en-US" w:eastAsia="en-US"/>
    </w:rPr>
  </w:style>
  <w:style w:type="paragraph" w:styleId="42" w:customStyle="1">
    <w:name w:val="Основной текст (4)"/>
    <w:basedOn w:val="Normal"/>
    <w:qFormat/>
    <w:pPr>
      <w:shd w:val="clear" w:fill="FFFFFF"/>
      <w:spacing w:lineRule="exact" w:line="288" w:before="60" w:after="360"/>
      <w:ind w:hanging="540"/>
    </w:pPr>
    <w:rPr>
      <w:rFonts w:eastAsia="Times New Roman"/>
      <w:b/>
      <w:bCs/>
      <w:i/>
      <w:iCs/>
      <w:color w:val="00000A"/>
      <w:sz w:val="20"/>
      <w:szCs w:val="20"/>
      <w:lang w:val="en-US" w:eastAsia="en-US"/>
    </w:rPr>
  </w:style>
  <w:style w:type="paragraph" w:styleId="ListParagraph">
    <w:name w:val="List Paragraph"/>
    <w:basedOn w:val="Normal"/>
    <w:qFormat/>
    <w:pPr>
      <w:ind w:left="720" w:hanging="0"/>
    </w:pPr>
    <w:rPr/>
  </w:style>
  <w:style w:type="paragraph" w:styleId="ConsPlusNormal" w:customStyle="1">
    <w:name w:val="ConsPlusNormal"/>
    <w:qFormat/>
    <w:pPr>
      <w:widowControl w:val="false"/>
      <w:tabs>
        <w:tab w:val="clear" w:pos="709"/>
        <w:tab w:val="left" w:pos="708" w:leader="none"/>
      </w:tabs>
      <w:suppressAutoHyphens w:val="true"/>
      <w:bidi w:val="0"/>
      <w:jc w:val="left"/>
    </w:pPr>
    <w:rPr>
      <w:rFonts w:ascii="Arial" w:hAnsi="Arial" w:eastAsia="Times New Roman" w:cs="Arial"/>
      <w:color w:val="00000A"/>
      <w:kern w:val="0"/>
      <w:sz w:val="24"/>
      <w:szCs w:val="20"/>
      <w:lang w:val="ru-RU" w:eastAsia="ru-RU" w:bidi="ar-SA"/>
    </w:rPr>
  </w:style>
  <w:style w:type="paragraph" w:styleId="Annotationtext">
    <w:name w:val="annotation text"/>
    <w:basedOn w:val="Normal"/>
    <w:qFormat/>
    <w:pPr/>
    <w:rPr>
      <w:sz w:val="20"/>
      <w:szCs w:val="20"/>
    </w:rPr>
  </w:style>
  <w:style w:type="paragraph" w:styleId="Annotationsubject">
    <w:name w:val="annotation subject"/>
    <w:basedOn w:val="Annotationtext"/>
    <w:qFormat/>
    <w:pPr/>
    <w:rPr>
      <w:b/>
      <w:bCs/>
    </w:rPr>
  </w:style>
  <w:style w:type="paragraph" w:styleId="BalloonText">
    <w:name w:val="Balloon Text"/>
    <w:basedOn w:val="Normal"/>
    <w:qFormat/>
    <w:pPr/>
    <w:rPr>
      <w:rFonts w:ascii="Segoe UI" w:hAnsi="Segoe UI" w:cs="Segoe UI"/>
      <w:sz w:val="18"/>
      <w:szCs w:val="18"/>
    </w:rPr>
  </w:style>
  <w:style w:type="paragraph" w:styleId="Style21" w:customStyle="1">
    <w:name w:val="Содержимое врезки"/>
    <w:basedOn w:val="TextBody"/>
    <w:qFormat/>
    <w:pPr/>
    <w:rPr/>
  </w:style>
  <w:style w:type="paragraph" w:styleId="Style22" w:customStyle="1">
    <w:name w:val="Содержимое таблицы"/>
    <w:basedOn w:val="Normal"/>
    <w:qFormat/>
    <w:pPr>
      <w:suppressLineNumbers/>
    </w:pPr>
    <w:rPr/>
  </w:style>
  <w:style w:type="paragraph" w:styleId="Style23" w:customStyle="1">
    <w:name w:val="Заголовок таблицы"/>
    <w:basedOn w:val="Style22"/>
    <w:qFormat/>
    <w:pPr>
      <w:jc w:val="center"/>
    </w:pPr>
    <w:rPr>
      <w:b/>
      <w:bCs/>
    </w:rPr>
  </w:style>
  <w:style w:type="paragraph" w:styleId="Style24" w:customStyle="1">
    <w:name w:val="Блочная цитата"/>
    <w:basedOn w:val="Normal"/>
    <w:qFormat/>
    <w:pPr/>
    <w:rPr/>
  </w:style>
  <w:style w:type="paragraph" w:styleId="Style25" w:customStyle="1">
    <w:name w:val="Текст в заданном формате"/>
    <w:basedOn w:val="Normal"/>
    <w:qFormat/>
    <w:pPr/>
    <w:rPr/>
  </w:style>
  <w:style w:type="paragraph" w:styleId="PreformattedText">
    <w:name w:val="Preformatted Text"/>
    <w:basedOn w:val="Normal"/>
    <w:qFormat/>
    <w:pPr>
      <w:spacing w:before="0" w:after="0"/>
    </w:pPr>
    <w:rPr>
      <w:rFonts w:ascii="Liberation Mono" w:hAnsi="Liberation Mono" w:eastAsia="DejaVu Sans Mono" w:cs="Liberation Mono"/>
      <w:sz w:val="20"/>
      <w:szCs w:val="20"/>
    </w:rPr>
  </w:style>
  <w:style w:type="paragraph" w:styleId="TableContents">
    <w:name w:val="Table Contents"/>
    <w:basedOn w:val="Normal"/>
    <w:qFormat/>
    <w:pPr>
      <w:suppressLineNumbers/>
    </w:pPr>
    <w:rPr/>
  </w:style>
  <w:style w:type="paragraph" w:styleId="TableHeading">
    <w:name w:val="Table Heading"/>
    <w:basedOn w:val="TableContents"/>
    <w:qFormat/>
    <w:pPr>
      <w:suppressLineNumbers/>
      <w:jc w:val="center"/>
    </w:pPr>
    <w:rPr>
      <w:b/>
      <w:bCs/>
    </w:rPr>
  </w:style>
  <w:style w:type="numbering" w:styleId="NoList" w:default="1">
    <w:name w:val="No List"/>
    <w:uiPriority w:val="99"/>
    <w:semiHidden/>
    <w:unhideWhenUsed/>
    <w:qFormat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settings" Target="settings.xml"/><Relationship Id="rId4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2358</TotalTime>
  <Application>LibreOffice/6.1.5.2$Linux_X86_64 LibreOffice_project/10$Build-2</Application>
  <Pages>3</Pages>
  <Words>325</Words>
  <Characters>3018</Characters>
  <CharactersWithSpaces>3222</CharactersWithSpaces>
  <Paragraphs>125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2017-04-17T14:59:00Z</dcterms:created>
  <dc:creator>пкб</dc:creator>
  <dc:description/>
  <dc:language>ru</dc:language>
  <cp:lastModifiedBy/>
  <cp:lastPrinted>2013-03-14T14:16:00Z</cp:lastPrinted>
  <dcterms:modified xsi:type="dcterms:W3CDTF">2022-02-02T10:07:49Z</dcterms:modified>
  <cp:revision>89</cp:revision>
  <dc:subject/>
  <dc:title>Комиссия по мониторингу цен на товары, приобретаемые для нужд Государственного казенного учреждения здравоохранения города Москвы Психиатрической Клинической больницы № 4 им</dc:title>
</cp:coreProperties>
</file>