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_rels/document.xml.rels" ContentType="application/vnd.openxmlformats-package.relationship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document.xml" ContentType="application/vnd.openxmlformats-officedocument.wordprocessingml.document.main+xml"/>
  <Override PartName="/word/styles.xml" ContentType="application/vnd.openxmlformats-officedocument.wordprocessingml.styl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tabs>
          <w:tab w:val="left" w:pos="0" w:leader="none"/>
          <w:tab w:val="left" w:pos="708" w:leader="none"/>
        </w:tabs>
        <w:ind w:hanging="25"/>
        <w:jc w:val="center"/>
        <w:rPr/>
      </w:pPr>
      <w:r>
        <w:rPr>
          <w:sz w:val="28"/>
          <w:szCs w:val="28"/>
        </w:rPr>
        <w:t xml:space="preserve">ПРОТОКОЛ ЗАСЕДАНИЯ ЗАКУПОЧНОЙ КОМИССИИ </w:t>
        <w:br/>
        <w:t>ГБУ СО "Солнечнополянский пансионат" № 32414254736</w:t>
      </w:r>
    </w:p>
    <w:p>
      <w:pPr>
        <w:pStyle w:val="Normal"/>
        <w:spacing w:before="170" w:after="0"/>
        <w:ind w:firstLine="850"/>
        <w:jc w:val="right"/>
        <w:rPr/>
      </w:pPr>
      <w:r>
        <w:rPr/>
        <w:t xml:space="preserve">Дата подписания протокола: 05.12.2024 </w:t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  <w:t xml:space="preserve">Повестка: </w:t>
      </w:r>
      <w:bookmarkStart w:id="0" w:name="__DdeLink__4360_2055996328"/>
      <w:r>
        <w:rPr/>
        <w:t>протокол рассмотрения и оценки заявок</w:t>
      </w:r>
      <w:bookmarkEnd w:id="0"/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  <w:t>На заседании комиссии присутствовали:</w:t>
      </w:r>
    </w:p>
    <w:p>
      <w:pPr>
        <w:pStyle w:val="Normal"/>
        <w:rPr/>
      </w:pPr>
      <w:r>
        <w:rPr/>
      </w:r>
    </w:p>
    <w:tbl>
      <w:tblPr>
        <w:tblW w:w="5000" w:type="pct"/>
        <w:jc w:val="lef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top w:w="113" w:type="dxa"/>
          <w:left w:w="113" w:type="dxa"/>
          <w:bottom w:w="113" w:type="dxa"/>
          <w:right w:w="113" w:type="dxa"/>
        </w:tblCellMar>
      </w:tblPr>
      <w:tblGrid>
        <w:gridCol w:w="4394"/>
        <w:gridCol w:w="4817"/>
      </w:tblGrid>
      <w:tr>
        <w:trPr/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jc w:val="center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/>
              <w:t>Член комиссии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jc w:val="center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/>
              <w:t>Роль</w:t>
            </w:r>
          </w:p>
        </w:tc>
      </w:tr>
      <w:tr>
        <w:trPr/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rPr/>
            </w:pPr>
            <w:r>
              <w:rPr>
                <w:lang w:val="en-US"/>
              </w:rPr>
              <w:t><![CDATA[Каюрова Татьяна Львовна]]>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/>
              <w:t><![CDATA[Зам. председателя комиссии]]></w:t>
            </w:r>
          </w:p>
        </w:tc>
      </w:tr>
      <w:tr>
        <w:trPr/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rPr/>
            </w:pPr>
            <w:r>
              <w:rPr>
                <w:lang w:val="en-US"/>
              </w:rPr>
              <w:t><![CDATA[Кандалинцева Анна Михайловна]]>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/>
              <w:t><![CDATA[Член комиссии]]></w:t>
            </w:r>
          </w:p>
        </w:tc>
      </w:tr>
      <w:tr>
        <w:trPr/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rPr/>
            </w:pPr>
            <w:r>
              <w:rPr>
                <w:lang w:val="en-US"/>
              </w:rPr>
              <w:t><![CDATA[Сатудинов Алексей Анатольевич]]>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/>
              <w:t><![CDATA[Член комиссии]]></w:t>
            </w:r>
          </w:p>
        </w:tc>
      </w:tr>
    </w:tbl>
    <w:p>
      <w:pPr>
        <w:pStyle w:val="Normal"/>
        <w:shd w:val="clear" w:color="000000" w:themeTint="0" w:themeShade="0" w:fill="FFFFFF" w:themeFillTint="0" w:themeFillShade="0"/>
        <w:tabs>
          <w:tab w:val="left" w:pos="0" w:leader="none"/>
          <w:tab w:val="left" w:pos="192" w:leader="none"/>
          <w:tab w:val="left" w:pos="282" w:leader="none"/>
          <w:tab w:val="left" w:pos="708" w:leader="none"/>
          <w:tab w:val="left" w:pos="1108" w:leader="none"/>
          <w:tab w:val="left" w:pos="2024" w:leader="none"/>
          <w:tab w:val="left" w:pos="2940" w:leader="none"/>
          <w:tab w:val="left" w:pos="3856" w:leader="none"/>
          <w:tab w:val="left" w:pos="4772" w:leader="none"/>
          <w:tab w:val="left" w:pos="5688" w:leader="none"/>
          <w:tab w:val="left" w:pos="6604" w:leader="none"/>
          <w:tab w:val="left" w:pos="7520" w:leader="none"/>
          <w:tab w:val="left" w:pos="8436" w:leader="none"/>
          <w:tab w:val="left" w:pos="9352" w:leader="none"/>
          <w:tab w:val="left" w:pos="10268" w:leader="none"/>
          <w:tab w:val="left" w:pos="11184" w:leader="none"/>
          <w:tab w:val="left" w:pos="12100" w:leader="none"/>
        </w:tabs>
        <w:spacing w:lineRule="atLeast" w:line="100"/>
        <w:ind w:firstLine="426"/>
        <w:jc w:val="both"/>
        <w:textAlignment w:val="baseline"/>
        <w:rPr>
          <w:rFonts w:ascii="Times New Roman" w:hAnsi="Times New Roman" w:eastAsia="Calibri" w:cs="Times New Roman"/>
          <w:color w:val="000000"/>
          <w:sz w:val="24"/>
          <w:szCs w:val="24"/>
          <w:lang w:val="ru-RU" w:eastAsia="ru-RU" w:bidi="ar-SA"/>
        </w:rPr>
      </w:pPr>
      <w:r>
        <w:rPr>
          <w:rFonts w:eastAsia="Calibri" w:cs="Times New Roman"/>
          <w:color w:val="000000"/>
          <w:sz w:val="24"/>
          <w:szCs w:val="24"/>
          <w:lang w:val="ru-RU" w:eastAsia="ru-RU" w:bidi="ar-SA"/>
        </w:rPr>
      </w:r>
    </w:p>
    <w:p>
      <w:pPr>
        <w:pStyle w:val="Normal"/>
        <w:shd w:val="clear" w:color="000000" w:themeTint="0" w:themeShade="0" w:fill="FFFFFF" w:themeFillTint="0" w:themeFillShade="0"/>
        <w:tabs>
          <w:tab w:val="left" w:pos="0" w:leader="none"/>
          <w:tab w:val="left" w:pos="198" w:leader="none"/>
          <w:tab w:val="left" w:pos="283" w:leader="none"/>
          <w:tab w:val="left" w:pos="708" w:leader="none"/>
          <w:tab w:val="left" w:pos="1114" w:leader="none"/>
          <w:tab w:val="left" w:pos="2030" w:leader="none"/>
          <w:tab w:val="left" w:pos="2946" w:leader="none"/>
          <w:tab w:val="left" w:pos="3862" w:leader="none"/>
          <w:tab w:val="left" w:pos="4778" w:leader="none"/>
          <w:tab w:val="left" w:pos="5694" w:leader="none"/>
          <w:tab w:val="left" w:pos="6610" w:leader="none"/>
          <w:tab w:val="left" w:pos="7526" w:leader="none"/>
          <w:tab w:val="left" w:pos="8442" w:leader="none"/>
          <w:tab w:val="left" w:pos="9358" w:leader="none"/>
          <w:tab w:val="left" w:pos="10274" w:leader="none"/>
          <w:tab w:val="left" w:pos="11190" w:leader="none"/>
          <w:tab w:val="left" w:pos="12106" w:leader="none"/>
        </w:tabs>
        <w:spacing w:lineRule="auto" w:line="360"/>
        <w:jc w:val="both"/>
        <w:textAlignment w:val="baseline"/>
        <w:rPr/>
      </w:pPr>
      <w:r>
        <w:rPr>
          <w:rFonts w:eastAsia="Times New Roman"/>
          <w:color w:val="00000A"/>
          <w:shd w:fill="FFFFFF" w:val="clear"/>
        </w:rPr>
        <w:t>Кворум для принятия решения имеется.</w:t>
      </w:r>
    </w:p>
    <w:p>
      <w:pPr>
        <w:pStyle w:val="Normal"/>
        <w:tabs>
          <w:tab w:val="left" w:pos="708" w:leader="none"/>
          <w:tab w:val="left" w:pos="851" w:leader="none"/>
        </w:tabs>
        <w:spacing w:before="397" w:after="113"/>
        <w:jc w:val="center"/>
        <w:rPr/>
      </w:pPr>
      <w:r>
        <w:rPr>
          <w:sz w:val="28"/>
          <w:szCs w:val="28"/>
          <w:lang w:eastAsia="en-US"/>
        </w:rPr>
        <w:t>1. Информация о процедуре</w:t>
      </w:r>
    </w:p>
    <w:tbl>
      <w:tblPr>
        <w:tblW w:w="5000" w:type="pct"/>
        <w:jc w:val="lef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top w:w="57" w:type="dxa"/>
          <w:left w:w="57" w:type="dxa"/>
          <w:bottom w:w="57" w:type="dxa"/>
          <w:right w:w="57" w:type="dxa"/>
        </w:tblCellMar>
      </w:tblPr>
      <w:tblGrid>
        <w:gridCol w:w="3354"/>
        <w:gridCol w:w="5857"/>
      </w:tblGrid>
      <w:tr>
        <w:trPr/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tabs>
                <w:tab w:val="left" w:pos="708" w:leader="none"/>
                <w:tab w:val="left" w:pos="709" w:leader="none"/>
              </w:tabs>
              <w:spacing w:before="0" w:after="0"/>
              <w:rPr/>
            </w:pPr>
            <w:r>
              <w:rPr>
                <w:sz w:val="22"/>
                <w:szCs w:val="22"/>
                <w:lang w:eastAsia="en-US"/>
              </w:rPr>
              <w:t>Способ закупки: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tabs>
                <w:tab w:val="left" w:pos="708" w:leader="none"/>
                <w:tab w:val="left" w:pos="709" w:leader="none"/>
              </w:tabs>
              <w:spacing w:before="0" w:after="0"/>
              <w:rPr/>
            </w:pPr>
            <w:r>
              <w:rPr>
                <w:sz w:val="22"/>
                <w:szCs w:val="22"/>
              </w:rPr>
              <w:t>запрос котировок в электронной форме</w:t>
            </w:r>
          </w:p>
        </w:tc>
      </w:tr>
      <w:tr>
        <w:trPr/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tabs>
                <w:tab w:val="left" w:pos="708" w:leader="none"/>
                <w:tab w:val="left" w:pos="709" w:leader="none"/>
              </w:tabs>
              <w:spacing w:before="0" w:after="0"/>
              <w:rPr/>
            </w:pPr>
            <w:r>
              <w:rPr>
                <w:sz w:val="22"/>
                <w:szCs w:val="22"/>
              </w:rPr>
              <w:t>Наименование закупки: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tabs>
                <w:tab w:val="left" w:pos="708" w:leader="none"/>
                <w:tab w:val="left" w:pos="709" w:leader="none"/>
              </w:tabs>
              <w:spacing w:before="0" w:after="0"/>
              <w:rPr/>
            </w:pPr>
            <w:r>
              <w:rPr>
                <w:sz w:val="22"/>
                <w:szCs w:val="22"/>
              </w:rPr>
              <w:t>Оказание услуг по техническому обслуживанию системы автоматической пожарной сигнализации, системы оповещения и управления эвакуацией, системы радиопередачи извещения о пожаре «Стрелец мониторинг» на объектах ГБУ СО «Солнечнополянский дом-интернат» в 2025 году</w:t>
            </w:r>
          </w:p>
        </w:tc>
      </w:tr>
      <w:tr>
        <w:trPr/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22"/>
              <w:shd w:val="clear" w:color="000000" w:themeTint="0" w:themeShade="0" w:fill="FFFFFF" w:themeFillTint="0" w:themeFillShade="0"/>
              <w:spacing w:before="0" w:after="0"/>
              <w:rPr/>
            </w:pPr>
            <w:r>
              <w:rPr>
                <w:sz w:val="22"/>
                <w:szCs w:val="22"/>
                <w:lang w:val="ru-RU"/>
              </w:rPr>
              <w:t>Извещение о проведении торгов: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22"/>
              <w:shd w:val="clear" w:color="000000" w:themeTint="0" w:themeShade="0" w:fill="FFFFFF" w:themeFillTint="0" w:themeFillShade="0"/>
              <w:spacing w:before="0" w:after="0"/>
              <w:rPr/>
            </w:pPr>
            <w:r>
              <w:rPr>
                <w:sz w:val="22"/>
                <w:szCs w:val="22"/>
                <w:lang w:val="ru-RU"/>
              </w:rPr>
              <w:t>E256071</w:t>
            </w:r>
          </w:p>
        </w:tc>
      </w:tr>
      <w:tr>
        <w:trPr/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  <w:lang w:eastAsia="en-US"/>
              </w:rPr>
              <w:t>Дата публикации извещения: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</w:rPr>
              <w:t>27.11.2024 19:19:23</w:t>
            </w:r>
          </w:p>
        </w:tc>
      </w:tr>
      <w:tr>
        <w:trPr/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  <w:lang w:eastAsia="en-US"/>
              </w:rPr>
              <w:t>Место проведения процедуры: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</w:rPr>
              <w:t>http://estp.ru</w:t>
            </w:r>
          </w:p>
        </w:tc>
      </w:tr>
    </w:tbl>
    <w:p>
      <w:pPr>
        <w:pStyle w:val="Normal"/>
        <w:tabs>
          <w:tab w:val="left" w:pos="708" w:leader="none"/>
          <w:tab w:val="left" w:pos="851" w:leader="none"/>
        </w:tabs>
        <w:spacing w:before="397" w:after="113"/>
        <w:jc w:val="center"/>
        <w:rPr/>
      </w:pPr>
      <w:r>
        <w:rPr>
          <w:sz w:val="28"/>
          <w:szCs w:val="28"/>
          <w:lang w:eastAsia="en-US"/>
        </w:rPr>
        <w:t>2. Данные об организациях-заказчиках закупки</w:t>
      </w:r>
    </w:p>
    <w:tbl>
      <w:tblPr>
        <w:tblW w:w="5000" w:type="pct"/>
        <w:jc w:val="lef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top w:w="57" w:type="dxa"/>
          <w:left w:w="57" w:type="dxa"/>
          <w:bottom w:w="57" w:type="dxa"/>
          <w:right w:w="57" w:type="dxa"/>
        </w:tblCellMar>
      </w:tblPr>
      <w:tblGrid>
        <w:gridCol w:w="3342"/>
        <w:gridCol w:w="5869"/>
      </w:tblGrid>
      <w:tr>
        <w:trPr/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  <w:lang w:eastAsia="en-US"/>
              </w:rPr>
              <w:t>Наименование: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</w:rPr>
              <w:t><![CDATA[ГБУ СО "Солнечнополянский пансионат"]]></w:t>
            </w:r>
          </w:p>
        </w:tc>
      </w:tr>
      <w:tr>
        <w:trPr/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  <w:lang w:eastAsia="en-US"/>
              </w:rPr>
              <w:t>ИНН: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</w:rPr>
              <w:t><![CDATA[6345004487]]></w:t>
            </w:r>
          </w:p>
        </w:tc>
      </w:tr>
      <w:tr>
        <w:trPr/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  <w:lang w:eastAsia="en-US"/>
              </w:rPr>
              <w:t>КПП: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</w:rPr>
              <w:t><![CDATA[634501001]]></w:t>
            </w:r>
          </w:p>
        </w:tc>
      </w:tr>
      <w:tr>
        <w:trPr/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  <w:lang w:eastAsia="en-US"/>
              </w:rPr>
              <w:t>ОГРН: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</w:rPr>
              <w:t><![CDATA[1036301730618]]></w:t>
            </w:r>
          </w:p>
        </w:tc>
      </w:tr>
      <w:tr>
        <w:trPr/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  <w:lang w:eastAsia="en-US"/>
              </w:rPr>
              <w:t>Юридический адрес: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</w:rPr>
              <w:t><![CDATA[445363, Самарская обл, г Жигулевск, село Солнечная Поляна, ул 2-я Набережная, д 21]]></w:t>
            </w:r>
          </w:p>
        </w:tc>
      </w:tr>
      <w:tr>
        <w:trPr/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  <w:lang w:eastAsia="en-US"/>
              </w:rPr>
              <w:t>Почтовый адрес: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</w:rPr>
              <w:t><![CDATA[445363, Самарская обл, г Жигулевск, село Солнечная поляна, д.21]]></w:t>
            </w:r>
          </w:p>
        </w:tc>
      </w:tr>
      <w:tr>
        <w:trPr/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tabs>
                <w:tab w:val="left" w:pos="708" w:leader="none"/>
                <w:tab w:val="left" w:pos="851" w:leader="none"/>
              </w:tabs>
              <w:spacing w:before="0" w:after="0"/>
              <w:rPr/>
            </w:pPr>
            <w:r>
              <w:rPr>
                <w:sz w:val="22"/>
                <w:szCs w:val="22"/>
                <w:shd w:fill="FFFFFF" w:val="clear"/>
                <w:lang w:eastAsia="en-US"/>
              </w:rPr>
              <w:t>Телефон: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tabs>
                <w:tab w:val="left" w:pos="708" w:leader="none"/>
                <w:tab w:val="left" w:pos="851" w:leader="none"/>
              </w:tabs>
              <w:spacing w:before="0" w:after="0"/>
              <w:rPr/>
            </w:pPr>
            <w:r>
              <w:rPr>
                <w:sz w:val="22"/>
                <w:szCs w:val="22"/>
              </w:rPr>
              <w:t><![CDATA[+7(917)8225154]]></w:t>
            </w:r>
          </w:p>
        </w:tc>
      </w:tr>
    </w:tbl>
    <w:p/>
    <w:p>
      <w:pPr>
        <w:pStyle w:val="Normal"/>
        <w:tabs>
          <w:tab w:val="left" w:pos="708" w:leader="none"/>
          <w:tab w:val="left" w:pos="851" w:leader="none"/>
        </w:tabs>
        <w:spacing w:before="397" w:after="113"/>
        <w:jc w:val="center"/>
        <w:rPr/>
      </w:pPr>
      <w:r>
        <w:rPr>
          <w:sz w:val="28"/>
          <w:szCs w:val="28"/>
          <w:lang w:eastAsia="en-US"/>
        </w:rPr>
        <w:t>3. Информация о лотах</w:t>
      </w:r>
    </w:p>
    <w:tbl>
      <w:tblPr>
        <w:tblW w:w="9212" w:type="dxa"/>
        <w:jc w:val="left"/>
        <w:tblInd w:w="0" w:type="dxa"/>
        <w:tblBorders/>
        <w:tblCellMar>
          <w:top w:w="0" w:type="dxa"/>
          <w:left w:w="0" w:type="dxa"/>
          <w:bottom w:w="0" w:type="dxa"/>
          <w:right w:w="0" w:type="dxa"/>
        </w:tblCellMar>
      </w:tblPr>
      <w:tblGrid>
        <w:gridCol w:w="9212"/>
      </w:tblGrid>
      <w:tr>
        <w:trPr/>
        <w:tc>
          <w:tcPr>
            <w:tcW w:w="9212" w:type="dxa"/>
            <w:tcBorders/>
            <w:shd w:fill="auto" w:val="clear"/>
          </w:tcPr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lang w:val="en-US"/>
              </w:rPr>
            </w:pPr>
            <w:r>
              <w:rPr>
                <w:lang w:val="en-US" w:eastAsia="en-US"/>
              </w:rPr>
              <w:t xml:space="preserve"><![CDATA[3.1 ]]></w:t>
            </w:r>
            <w:r>
              <w:rPr>
                <w:lang w:eastAsia="en-US"/>
              </w:rPr>
              <w:t>Лот</w:t>
            </w:r>
            <w:r>
              <w:rPr>
                <w:lang w:val="en-US" w:eastAsia="en-US"/>
              </w:rPr>
              <w:t xml:space="preserve"> </w:t>
            </w:r>
            <w:r>
              <w:rPr>
                <w:sz w:val="22"/>
                <w:szCs w:val="22"/>
                <w:lang w:val="en-US" w:eastAsia="en-US"/>
              </w:rPr>
              <w:t><![CDATA[E256071-1]]></w:t>
            </w:r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en-US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en-US" w:eastAsia="en-US" w:bidi="ar-SA"/>
              </w:rPr>
            </w:r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lang w:val="en-US"/>
              </w:rPr>
            </w:pPr>
            <w:r>
              <w:rPr>
                <w:lang w:val="en-US" w:eastAsia="en-US"/>
              </w:rPr>
              <w:t xml:space="preserve"><![CDATA[3.1.1 ]]></w:t>
            </w:r>
            <w:r>
              <w:rPr>
                <w:lang w:eastAsia="en-US"/>
              </w:rPr>
              <w:t>Общие сведения</w:t>
            </w:r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en-US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en-US" w:eastAsia="en-US" w:bidi="ar-SA"/>
              </w:rPr>
            </w:r>
          </w:p>
          <w:tbl>
            <w:tblPr>
              <w:tblW w:w="5000" w:type="pct"/>
              <w:jc w:val="lef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top w:w="57" w:type="dxa"/>
                <w:left w:w="57" w:type="dxa"/>
                <w:bottom w:w="57" w:type="dxa"/>
                <w:right w:w="57" w:type="dxa"/>
              </w:tblCellMar>
            </w:tblPr>
            <w:tblGrid>
              <w:gridCol w:w="3354"/>
              <w:gridCol w:w="5857"/>
            </w:tblGrid>
            <w:tr>
              <w:trPr/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объекта закупки: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</w:rPr>
                    <w:t><![CDATA[Оказание услуг по техническому обслуживанию системы автоматической пожарной сигнализации, системы оповещения и управления эвакуацией, системы радиопередачи извещения о пожаре «Стрелец мониторинг» на объектах ГБУ СО «Солнечнополянский дом-интернат» в 2025 году]]></w:t>
                  </w:r>
                </w:p>
              </w:tc>
            </w:tr>
            <w:tr>
              <w:trPr/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Начальная (максимальная) цена договора: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>
                      <w:rFonts w:ascii="Times New Roman" w:hAnsi="Times New Roman" w:eastAsia="Calibri" w:cs="Times New Roman"/>
                      <w:color w:val="000000"/>
                      <w:sz w:val="22"/>
                      <w:szCs w:val="22"/>
                      <w:lang w:val="ru-RU" w:eastAsia="ru-RU" w:bidi="ar-SA"/>
                    </w:rPr>
                  </w:pPr>
                  <w:r>
                    <w:rPr>
                      <w:sz w:val="22"/>
                      <w:szCs w:val="22"/>
                    </w:rPr>
                    <w:t><![CDATA[492 000,00]]></w:t>
                  </w:r>
                </w:p>
              </w:tc>
            </w:tr>
            <w:tr>
              <w:trPr/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>
                      <w:rFonts w:ascii="Times New Roman" w:hAnsi="Times New Roman" w:eastAsia="Calibri" w:cs="Times New Roman"/>
                      <w:color w:val="000000"/>
                      <w:sz w:val="24"/>
                      <w:szCs w:val="24"/>
                      <w:lang w:val="ru-RU" w:eastAsia="ru-RU" w:bidi="ar-SA"/>
                    </w:rPr>
                  </w:pPr>
                  <w:r>
                    <w:rPr>
                      <w:sz w:val="22"/>
                      <w:szCs w:val="22"/>
                    </w:rPr>
                    <w:t>Валюта лота: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>
                      <w:rFonts w:ascii="Times New Roman" w:hAnsi="Times New Roman" w:eastAsia="Calibri" w:cs="Times New Roman"/>
                      <w:color w:val="000000"/>
                      <w:sz w:val="24"/>
                      <w:szCs w:val="24"/>
                      <w:lang w:val="ru-RU" w:eastAsia="ru-RU" w:bidi="ar-SA"/>
                    </w:rPr>
                  </w:pPr>
                  <w:r>
                    <w:rPr>
                      <w:sz w:val="22"/>
                      <w:szCs w:val="22"/>
                    </w:rPr>
                    <w:t><![CDATA[Российский рубль]]></w:t>
                  </w:r>
                </w:p>
              </w:tc>
            </w:tr>
            <w:tr>
              <w:trPr/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Место поставки товара/выполнения работ: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/>
                  </w:pPr>
                  <w:r>
                    <w:rPr>
                      <w:rFonts w:eastAsia="Calibri" w:cs="Times New Roman"/>
                      <w:color w:val="000000"/>
                      <w:sz w:val="22"/>
                      <w:szCs w:val="22"/>
                      <w:lang w:val="ru-RU" w:eastAsia="ru-RU" w:bidi="ar-SA"/>
                    </w:rPr>
                    <w:t/>
                    <w:br/>
                    <w:t><![CDATA[г Жигулевск, село Солнечная поляна, д.21]]></w:t>
                  </w:r>
                </w:p>
              </w:tc>
            </w:tr>
            <w:tr>
              <w:trPr/>
              <w:tc>
                <w:tcPr>
                  <w:tcW w:w="3354" w:type="dxa"/>
                  <w:tcBorders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/>
                  </w:pPr>
                  <w:r>
                    <w:rPr/>
                    <w:t>Срок исполнения договора</w:t>
                  </w:r>
                </w:p>
              </w:tc>
              <w:tc>
                <w:tcPr>
                  <w:tcW w:w="5857" w:type="dxa"/>
                  <w:tcBorders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/>
                  </w:pPr>
                  <w:r>
                    <w:rPr/>
                    <w:t><![CDATA[30.12.2025]]></w:t>
                  </w:r>
                </w:p>
              </w:tc>
            </w:tr>
            <w:tr>
              <w:trPr/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</w:rPr>
                    <w:t>Учитывать ПП РФ №925: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</w:rPr>
                    <w:t><![CDATA[Да]]></w:t>
                  </w:r>
                </w:p>
              </w:tc>
            </w:tr>
          </w:tbl>
          <w:p>
            <w:pPr>
              <w:pStyle w:val="Normal"/>
              <w:rPr/>
            </w:pPr>
            <w:r>
              <w:rPr/>
            </w:r>
          </w:p>
          <w:p>
            <w:pPr>
              <w:pStyle w:val="Normal"/>
              <w:rPr/>
            </w:pPr>
            <w:r>
              <w:rPr>
                <w:lang w:eastAsia="en-US"/>
              </w:rPr>
              <w:t><![CDATA[3.1.2 Сведения об объеме закупаемых товаров, работ, услуг]]></w:t>
            </w:r>
          </w:p>
          <w:p>
            <w:pPr>
              <w:pStyle w:val="Normal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en-US" w:bidi="ar-SA"/>
              </w:rPr>
            </w:r>
          </w:p>
          <w:tbl>
            <w:tblPr>
              <w:tblW w:w="5000" w:type="pct"/>
              <w:jc w:val="lef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top w:w="0" w:type="dxa"/>
                <w:left w:w="18" w:type="dxa"/>
                <w:bottom w:w="0" w:type="dxa"/>
                <w:right w:w="108" w:type="dxa"/>
              </w:tblCellMar>
            </w:tblPr>
            <w:tblGrid>
              <w:gridCol w:w="2301"/>
              <w:gridCol w:w="2303"/>
              <w:gridCol w:w="2301"/>
              <w:gridCol w:w="2306"/>
            </w:tblGrid>
            <w:tr>
              <w:trPr/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ОКДП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>
              <w:trPr/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>
                      <w:lang w:val="en-US"/>
                    </w:rPr>
                  </w:pPr>
                  <w:r>
                    <w:rPr>
                      <w:lang w:val="en-US"/>
                    </w:rPr>
                    <w:t><![CDATA[80.20]]></w:t>
                  </w:r>
                </w:p>
                <w:p>
                  <w:pPr>
                    <w:pStyle w:val="Normal"/>
                    <w:spacing w:before="57" w:after="57"/>
                    <w:jc w:val="center"/>
                    <w:rPr>
                      <w:lang w:val="en-US"/>
                    </w:rPr>
                  </w:pPr>
                  <w:r>
                    <w:rPr>
                      <w:sz w:val="22"/>
                      <w:szCs w:val="22"/>
                      <w:lang w:val="en-US" w:eastAsia="en-US"/>
                    </w:rPr>
                    <w:t><![CDATA[Деятельность систем обеспечения безопасности]]>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>
                      <w:lang w:val="en-US"/>
                    </w:rPr>
                  </w:pPr>
                  <w:bookmarkStart w:id="1" w:name="__DdeLink__297_1642196365"/>
                  <w:bookmarkEnd w:id="1"/>
                  <w:r>
                    <w:rPr>
                      <w:sz w:val="22"/>
                      <w:szCs w:val="22"/>
                      <w:lang w:val="en-US" w:eastAsia="en-US"/>
                    </w:rPr>
                    <w:t><![CDATA[80.20.10.000]]></w:t>
                  </w:r>
                </w:p>
                <w:p>
                  <w:pPr>
                    <w:pStyle w:val="Normal"/>
                    <w:spacing w:before="57" w:after="57"/>
                    <w:jc w:val="center"/>
                    <w:rPr>
                      <w:lang w:val="en-US"/>
                    </w:rPr>
                  </w:pPr>
                  <w:r>
                    <w:rPr>
                      <w:sz w:val="22"/>
                      <w:szCs w:val="22"/>
                      <w:lang w:val="en-US" w:eastAsia="en-US"/>
                    </w:rPr>
                    <w:t><![CDATA[Услуги систем обеспечения безопасности]]>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bookmarkStart w:id="2" w:name="__DdeLink__301_1642196365"/>
                  <w:bookmarkEnd w:id="2"/>
                  <w:r>
                    <w:rPr>
                      <w:sz w:val="22"/>
                      <w:szCs w:val="22"/>
                      <w:lang w:eastAsia="en-US"/>
                    </w:rPr>
                    <w:t><![CDATA[12]]>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Условная единица]]></w:t>
                  </w:r>
                </w:p>
              </w:tc>
            </w:tr>
          </w:tbl>
          <w:p/>
          <w:p>
            <w:pPr>
              <w:pStyle w:val="Normal"/>
              <w:rPr/>
            </w:pPr>
            <w:r>
              <w:rPr/>
            </w:r>
          </w:p>
          <w:p>
            <w:pPr>
              <w:pStyle w:val="Normal"/>
              <w:rPr/>
            </w:pPr>
            <w:r>
              <w:rPr/>
              <w:t>3.</w:t>
            </w:r>
            <w:r>
              <w:rPr>
                <w:lang w:eastAsia="en-US"/>
              </w:rPr>
              <w:t><![CDATA[1]]></w:t>
            </w:r>
            <w:r>
              <w:rPr/>
              <w:t>.3 Сведения о рассмотренных заявках</w:t>
            </w:r>
          </w:p>
          <w:p>
            <w:pPr>
              <w:pStyle w:val="Normal"/>
              <w:rPr/>
            </w:pPr>
            <w:r>
              <w:rPr/>
            </w:r>
          </w:p>
          <w:tbl>
            <w:tblPr>
              <w:tblW w:w="9210" w:type="dxa"/>
              <w:jc w:val="lef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top w:w="57" w:type="dxa"/>
                <w:left w:w="57" w:type="dxa"/>
                <w:bottom w:w="57" w:type="dxa"/>
                <w:right w:w="57" w:type="dxa"/>
              </w:tblCellMar>
            </w:tblPr>
            <w:tblGrid>
              <w:gridCol w:w="1751"/>
              <w:gridCol w:w="1939"/>
              <w:gridCol w:w="4016"/>
              <w:gridCol w:w="1503"/>
            </w:tblGrid>
            <w:tr>
              <w:trPr/>
              <w:tc>
                <w:tcPr>
                  <w:tcW w:w="175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jc w:val="center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Номер заявки</w:t>
                  </w:r>
                </w:p>
              </w:tc>
              <w:tc>
                <w:tcPr>
                  <w:tcW w:w="193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jc w:val="center"/>
                    <w:rPr/>
                  </w:pPr>
                  <w:r>
                    <w:rPr/>
                    <w:t><![CDATA[890023]]></w:t>
                  </w:r>
                </w:p>
              </w:tc>
              <w:tc>
                <w:tcPr>
                  <w:tcW w:w="401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>
                      <w:sz w:val="22"/>
                      <w:szCs w:val="22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5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center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<![CDATA[1]]></w:t>
                  </w:r>
                </w:p>
              </w:tc>
            </w:tr>
            <w:tr>
              <w:trPr/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3" w:name="__DdeLink__1258_1642196365"/>
                  <w:bookmarkEnd w:id="3"/>
                  <w:r>
                    <w:rPr>
                      <w:sz w:val="22"/>
                      <w:szCs w:val="22"/>
                      <w:lang w:eastAsia="en-US"/>
                    </w:rPr>
                    <w:t><![CDATA[04.12.2024  20:34:57]]></w:t>
                  </w:r>
                </w:p>
              </w:tc>
            </w:tr>
            <w:tr>
              <w:trPr/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 w:eastAsia="en-US"/>
                    </w:rPr>
                    <w:t>Ценовое предложение: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480 000,00]]></w:t>
                  </w:r>
                </w:p>
              </w:tc>
            </w:tr>
            <w:tr>
              <w:trPr/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/>
                  </w:pPr>
                  <w:r>
                    <w:rPr>
                      <w:sz w:val="22"/>
                      <w:szCs w:val="22"/>
                    </w:rPr>
                    <w:t>Значение ценового предложения используемое для оценки с учетом ПП РФ №925: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</w:rPr>
                    <w:t><![CDATA[408 000,00]]></w:t>
                  </w:r>
                </w:p>
              </w:tc>
            </w:tr>
            <w:tr>
              <w:trPr/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Валюта предложения: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rFonts w:ascii="Times New Roman" w:hAnsi="Times New Roman" w:eastAsia="Calibri" w:cs="Times New Roman"/>
                      <w:color w:val="000000"/>
                      <w:sz w:val="24"/>
                      <w:szCs w:val="24"/>
                      <w:lang w:val="ru-RU" w:eastAsia="ru-RU" w:bidi="ar-SA"/>
                    </w:rPr>
                  </w:pPr>
                  <w:r>
                    <w:rPr>
                      <w:sz w:val="22"/>
                      <w:szCs w:val="22"/>
                    </w:rPr>
                    <w:t><![CDATA[Российский рубль]]></w:t>
                  </w:r>
                </w:p>
              </w:tc>
            </w:tr>
            <w:tr>
              <w:trPr>
                <w:trHeight w:val="340" w:hRule="atLeast"/>
              </w:trPr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lang w:val="en-US"/>
                    </w:rPr>
                  </w:pPr>
                  <w:bookmarkStart w:id="4" w:name="__DdeLink__1264_1642196365"/>
                  <w:bookmarkEnd w:id="4"/>
                  <w:r>
                    <w:rPr>
                      <w:sz w:val="22"/>
                      <w:szCs w:val="22"/>
                      <w:lang w:val="en-US" w:eastAsia="en-US"/>
                    </w:rPr>
                    <w:t><![CDATA[Индивидуальный предприниматель «Тарасов Константин Васильевич»]]></w:t>
                  </w:r>
                </w:p>
              </w:tc>
            </w:tr>
            <w:tr>
              <w:trPr/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5" w:name="__DdeLink__1266_1642196365"/>
                  <w:bookmarkEnd w:id="5"/>
                  <w:r>
                    <w:rPr>
                      <w:sz w:val="22"/>
                      <w:szCs w:val="22"/>
                      <w:lang w:eastAsia="en-US"/>
                    </w:rPr>
                    <w:t><![CDATA[634500159313]]></w:t>
                  </w:r>
                </w:p>
              </w:tc>
            </w:tr>
            <w:tr>
              <w:trPr/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7" w:name="__DdeLink__1270_1642196365"/>
                  <w:bookmarkEnd w:id="7"/>
                  <w:r>
                    <w:rPr>
                      <w:sz w:val="22"/>
                      <w:szCs w:val="22"/>
                      <w:lang w:eastAsia="en-US"/>
                    </w:rPr>
                    <w:t><![CDATA[304638229900085]]></w:t>
                  </w:r>
                </w:p>
              </w:tc>
            </w:tr>
            <w:tr>
              <w:trPr/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<![CDATA[Индивидуальный предприниматель]]></w:t>
                  </w:r>
                </w:p>
              </w:tc>
            </w:tr>
            <w:tr>
              <w:trPr/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Адрес:]]>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8" w:name="__DdeLink__1272_1642196365"/>
                  <w:bookmarkEnd w:id="8"/>
                  <w:r>
                    <w:rPr>
                      <w:sz w:val="22"/>
                      <w:szCs w:val="22"/>
                      <w:lang w:eastAsia="en-US"/>
                    </w:rPr>
                    <w:t><![CDATA[Самарская обл, г Жигулевск]]></w:t>
                  </w:r>
                </w:p>
              </w:tc>
            </w:tr>
            <w:tr>
              <w:trPr>
                <w:trHeight w:val="363" w:hRule="atLeast"/>
              </w:trPr>
              <w:tc>
                <w:tcPr>
                  <w:tcW w:w="9209" w:type="dxa"/>
                  <w:gridSpan w:val="4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 документации на участие в торгах</w:t>
                  </w:r>
                </w:p>
              </w:tc>
            </w:tr>
            <w:tr>
              <w:trPr>
                <w:trHeight w:val="222" w:hRule="atLeast"/>
              </w:trPr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<![CDATA[Одобрена]]></w:t>
                  </w:r>
                </w:p>
              </w:tc>
            </w:tr>
          </w:tbl>
          <w:p/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en-US" w:bidi="ar-SA"/>
              </w:rPr>
            </w:r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en-US" w:bidi="ar-SA"/>
              </w:rPr>
              <w:t><![CDATA[Количество поданных заявок: 1]]></w:t>
            </w:r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en-US" w:bidi="ar-SA"/>
              </w:rPr>
              <w:t><![CDATA[Количество отклоненных заявок: 0]]></w:t>
            </w:r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en-US" w:bidi="ar-SA"/>
              </w:rPr>
            </w:r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rPr/>
            </w:pPr>
            <w:r>
              <w:rPr>
                <w:lang w:eastAsia="en-US"/>
              </w:rPr>
              <w:t><![CDATA[3.1.4 Решение по лоту]]></w:t>
            </w:r>
          </w:p>
          <w:p>
            <w:pPr>
              <w:pStyle w:val="Normal"/>
              <w:shd w:val="clear" w:color="000000" w:themeTint="0" w:themeShade="0" w:fill="FFFFFF" w:themeFillTint="0" w:themeFillShade="0"/>
              <w:tabs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en-US" w:bidi="ar-SA"/>
              </w:rPr>
            </w:r>
          </w:p>
          <w:p>
            <w:pPr>
              <w:pStyle w:val="TextBody"/>
              <w:jc w:val="both"/>
              <w:rPr/>
            </w:pPr>
            <w:r>
              <w:rPr>
                <w:lang w:eastAsia="en-US"/>
              </w:rPr>
              <w:t><![CDATA[3.1.4.1 На основании результатов рассмотрения заявок на соответствие требованиям, установленным в документации к закупке, признать закупку по лоту несостоявшейся. Конкурентная закупка признана несостоявшейся в связи с тем, что на участие в закупке подана только одна заявка.]]></w:t>
            </w:r>
          </w:p>
          <w:p>
            <w:pPr>
              <w:pStyle w:val="TextBody"/>
              <w:jc w:val="both"/>
              <w:rPr>
                <w:rFonts w:eastAsia="Times New Roman"/>
                <w:color w:val="00000A"/>
                <w:highlight w:val="white"/>
                <w:lang w:val="en-US" w:eastAsia="en-US"/>
              </w:rPr>
            </w:pPr>
            <w:r>
              <w:rPr>
                <w:rFonts w:eastAsia="Times New Roman"/>
                <w:color w:val="00000A"/>
                <w:highlight w:val="white"/>
                <w:lang w:val="en-US" w:eastAsia="en-US"/>
              </w:rPr>
            </w:r>
          </w:p>
          <w:tbl>
            <w:tblPr>
              <w:tblW w:w="9212" w:type="dxa"/>
              <w:jc w:val="left"/>
              <w:tblInd w:w="0" w:type="dxa"/>
              <w:tblBorders/>
              <w:tblCellMar>
                <w:top w:w="55" w:type="dxa"/>
                <w:left w:w="55" w:type="dxa"/>
                <w:bottom w:w="55" w:type="dxa"/>
                <w:right w:w="55" w:type="dxa"/>
              </w:tblCellMar>
            </w:tblPr>
            <w:tblGrid>
              <w:gridCol w:w="9212"/>
            </w:tblGrid>
            <w:tr>
              <w:trPr/>
              <w:tc>
                <w:tcPr>
                  <w:tcW w:w="9212" w:type="dxa"/>
                  <w:tcBorders/>
                  <w:shd w:fill="auto" w:val="clear"/>
                </w:tcPr>
                <w:p>
                  <w:pPr>
                    <w:pStyle w:val="Style22"/>
                    <w:rPr>
                      <w:lang w:val="en-US"/>
                    </w:rPr>
                  </w:pPr>
                  <w:r>
                    <w:rPr>
                      <w:lang w:val="en-US"/>
                    </w:rPr>
                  </w:r>
                </w:p>
              </w:tc>
            </w:tr>
          </w:tbl>
          <w:p>
            <w:pPr>
              <w:pStyle w:val="TextBody"/>
              <w:spacing w:before="0" w:after="120"/>
              <w:jc w:val="both"/>
              <w:rPr>
                <w:rFonts w:ascii="Times New Roman" w:hAnsi="Times New Roman" w:eastAsia="Times New Roman" w:cs="Times New Roman"/>
                <w:color w:val="00000A"/>
                <w:sz w:val="24"/>
                <w:szCs w:val="24"/>
                <w:highlight w:val="white"/>
                <w:lang w:val="en-US" w:eastAsia="en-US" w:bidi="ar-SA"/>
              </w:rPr>
            </w:pPr>
            <w:r>
              <w:rPr>
                <w:rFonts w:eastAsia="Times New Roman" w:cs="Times New Roman"/>
                <w:color w:val="00000A"/>
                <w:sz w:val="24"/>
                <w:szCs w:val="24"/>
                <w:highlight w:val="white"/>
                <w:lang w:val="en-US" w:eastAsia="en-US" w:bidi="ar-SA"/>
              </w:rPr>
            </w:r>
          </w:p>
        </w:tc>
      </w:tr>
    </w:tbl>
    <w:p/>
    <w:p>
      <w:pPr>
        <w:pStyle w:val="Normal"/>
        <w:tabs>
          <w:tab w:val="left" w:pos="708" w:leader="none"/>
          <w:tab w:val="left" w:pos="851" w:leader="none"/>
        </w:tabs>
        <w:spacing w:before="397" w:after="113"/>
        <w:jc w:val="center"/>
        <w:rPr/>
      </w:pPr>
      <w:r>
        <w:rPr>
          <w:sz w:val="28"/>
          <w:szCs w:val="28"/>
          <w:lang w:eastAsia="en-US"/>
        </w:rPr>
        <w:t>4. Решение комиссии</w:t>
      </w:r>
    </w:p>
    <w:p>
      <w:pPr>
        <w:pStyle w:val="TextBody"/>
        <w:tabs>
          <w:tab w:val="left" w:pos="708" w:leader="none"/>
          <w:tab w:val="left" w:pos="851" w:leader="none"/>
        </w:tabs>
        <w:spacing w:before="0" w:after="0"/>
        <w:jc w:val="both"/>
        <w:rPr/>
      </w:pPr>
      <w:r>
        <w:rPr>
          <w:lang w:eastAsia="en-US"/>
        </w:rPr>
        <w:t>4.1.</w:t>
        <w:tab/>
        <w:t>На основании результатов подведения итогов, признать процедуру несостоявшейся. Принято решение: По лоту E256071-1 заключить договор с участником Индивидуальный предприниматель «Тарасов Константин Васильевич» на сумму 480000.00 (Российский рубль).</w:t>
      </w:r>
    </w:p>
    <w:p>
      <w:pPr>
        <w:pStyle w:val="TextBody"/>
        <w:tabs>
          <w:tab w:val="left" w:pos="708" w:leader="none"/>
          <w:tab w:val="left" w:pos="851" w:leader="none"/>
        </w:tabs>
        <w:spacing w:before="0" w:after="0"/>
        <w:jc w:val="both"/>
        <w:rPr>
          <w:lang w:eastAsia="en-US"/>
        </w:rPr>
      </w:pPr>
      <w:r>
        <w:rPr>
          <w:lang w:eastAsia="en-US"/>
        </w:rPr>
      </w:r>
    </w:p>
    <w:tbl>
      <w:tblPr>
        <w:tblW w:w="5000" w:type="pct"/>
        <w:jc w:val="left"/>
        <w:tblInd w:w="35" w:type="dxa"/>
        <w:tblBorders>
          <w:top w:val="single" w:sz="2" w:space="0" w:color="000001"/>
          <w:left w:val="single" w:sz="2" w:space="0" w:color="000001"/>
        </w:tblBorders>
        <w:tblCellMar>
          <w:top w:w="113" w:type="dxa"/>
          <w:left w:w="113" w:type="dxa"/>
          <w:bottom w:w="113" w:type="dxa"/>
          <w:right w:w="113" w:type="dxa"/>
        </w:tblCellMar>
      </w:tblPr>
      <w:tblGrid>
        <w:gridCol w:w="3038"/>
        <w:gridCol w:w="3052"/>
        <w:gridCol w:w="3122"/>
      </w:tblGrid>
      <w:tr>
        <w:trPr/>
        <w:tc>
          <w:tcPr>
            <w:tcW w:w="3038" w:type="dxa"/>
            <w:tcBorders>
              <w:top w:val="single" w:sz="2" w:space="0" w:color="000001"/>
              <w:left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jc w:val="center"/>
              <w:rPr/>
            </w:pPr>
            <w:r>
              <w:rPr/>
              <w:t xml:space="preserve"> </w:t>
            </w:r>
            <w:r>
              <w:rPr/>
              <w:t>Роль</w:t>
            </w:r>
          </w:p>
        </w:tc>
        <w:tc>
          <w:tcPr>
            <w:tcW w:w="3052" w:type="dxa"/>
            <w:tcBorders>
              <w:top w:val="single" w:sz="2" w:space="0" w:color="000001"/>
              <w:left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jc w:val="center"/>
              <w:rPr/>
            </w:pPr>
            <w:r>
              <w:rPr/>
              <w:t>Член комиссии</w:t>
            </w:r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right w:val="single" w:sz="2" w:space="0" w:color="000001"/>
              <w:insideV w:val="single" w:sz="2" w:space="0" w:color="000001"/>
            </w:tcBorders>
            <w:shd w:color="auto" w:fill="FFFFFF" w:val="clear"/>
            <w:vAlign w:val="center"/>
          </w:tcPr>
          <w:p>
            <w:pPr>
              <w:pStyle w:val="Normal"/>
              <w:spacing w:before="0" w:after="0"/>
              <w:jc w:val="center"/>
              <w:rPr/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  <w:t>Решение</w:t>
            </w:r>
          </w:p>
        </w:tc>
      </w:tr>
      <w:tr>
        <w:trPr/>
        <w:tc>
          <w:tcPr>
            <w:tcW w:w="30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jc w:val="center"/>
              <w:rPr/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  <w:t><![CDATA[Зам. председателя комиссии]]></w:t>
            </w:r>
          </w:p>
        </w:tc>
        <w:tc>
          <w:tcPr>
            <w:tcW w:w="305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  <w:vAlign w:val="center"/>
          </w:tcPr>
          <w:p>
            <w:pPr>
              <w:pStyle w:val="Style22"/>
              <w:spacing w:before="0" w:after="0"/>
              <w:jc w:val="center"/>
              <w:rPr/>
            </w:pPr>
            <w:r>
              <w:rPr>
                <w:lang w:val="en-US"/>
              </w:rPr>
              <w:t><![CDATA[Каюрова Татьяна Львовна]]></w:t>
            </w:r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  <w:vAlign w:val="center"/>
          </w:tcPr>
          <w:p>
            <w:pPr>
              <w:pStyle w:val="Normal"/>
              <w:spacing w:before="0" w:after="0"/>
              <w:jc w:val="center"/>
              <w:rPr/>
            </w:pPr>
            <w:bookmarkStart w:id="9" w:name="__DdeLink__21948_451928332"/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  <w:t>Согласен</w:t>
            </w:r>
            <w:bookmarkEnd w:id="9"/>
          </w:p>
        </w:tc>
      </w:tr>
      <w:tr>
        <w:trPr/>
        <w:tc>
          <w:tcPr>
            <w:tcW w:w="30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jc w:val="center"/>
              <w:rPr/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  <w:t><![CDATA[Член комиссии]]></w:t>
            </w:r>
          </w:p>
        </w:tc>
        <w:tc>
          <w:tcPr>
            <w:tcW w:w="305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  <w:vAlign w:val="center"/>
          </w:tcPr>
          <w:p>
            <w:pPr>
              <w:pStyle w:val="Style22"/>
              <w:spacing w:before="0" w:after="0"/>
              <w:jc w:val="center"/>
              <w:rPr/>
            </w:pPr>
            <w:r>
              <w:rPr>
                <w:lang w:val="en-US"/>
              </w:rPr>
              <w:t><![CDATA[Кандалинцева Анна Михайловна]]></w:t>
            </w:r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  <w:vAlign w:val="center"/>
          </w:tcPr>
          <w:p>
            <w:pPr>
              <w:pStyle w:val="Normal"/>
              <w:spacing w:before="0" w:after="0"/>
              <w:jc w:val="center"/>
              <w:rPr/>
            </w:pPr>
            <w:bookmarkStart w:id="9" w:name="__DdeLink__21948_451928332"/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  <w:t>Согласен</w:t>
            </w:r>
            <w:bookmarkEnd w:id="9"/>
          </w:p>
        </w:tc>
      </w:tr>
      <w:tr>
        <w:trPr/>
        <w:tc>
          <w:tcPr>
            <w:tcW w:w="30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jc w:val="center"/>
              <w:rPr/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  <w:t><![CDATA[Член комиссии]]></w:t>
            </w:r>
          </w:p>
        </w:tc>
        <w:tc>
          <w:tcPr>
            <w:tcW w:w="305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  <w:vAlign w:val="center"/>
          </w:tcPr>
          <w:p>
            <w:pPr>
              <w:pStyle w:val="Style22"/>
              <w:spacing w:before="0" w:after="0"/>
              <w:jc w:val="center"/>
              <w:rPr/>
            </w:pPr>
            <w:r>
              <w:rPr>
                <w:lang w:val="en-US"/>
              </w:rPr>
              <w:t><![CDATA[Сатудинов Алексей Анатольевич]]></w:t>
            </w:r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  <w:vAlign w:val="center"/>
          </w:tcPr>
          <w:p>
            <w:pPr>
              <w:pStyle w:val="Normal"/>
              <w:spacing w:before="0" w:after="0"/>
              <w:jc w:val="center"/>
              <w:rPr/>
            </w:pPr>
            <w:bookmarkStart w:id="9" w:name="__DdeLink__21948_451928332"/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  <w:t>Согласен</w:t>
            </w:r>
            <w:bookmarkEnd w:id="9"/>
          </w:p>
        </w:tc>
      </w:tr>
    </w:tbl>
    <w:p>
      <w:pPr>
        <w:pStyle w:val="Normal"/>
        <w:rPr/>
      </w:pPr>
      <w:r>
        <w:rPr/>
      </w:r>
    </w:p>
    <w:sectPr>
      <w:type w:val="nextPage"/>
      <w:pgSz w:w="11906" w:h="16838"/>
      <w:pgMar w:left="1843" w:right="851" w:header="0" w:top="567" w:footer="0" w:bottom="567" w:gutter="0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Times New Roman">
    <w:charset w:val="01"/>
    <w:family w:val="roman"/>
    <w:pitch w:val="variable"/>
  </w:font>
  <w:font w:name="Courier New">
    <w:charset w:val="01"/>
    <w:family w:val="roman"/>
    <w:pitch w:val="variable"/>
  </w:font>
  <w:font w:name="Segoe UI">
    <w:charset w:val="01"/>
    <w:family w:val="roman"/>
    <w:pitch w:val="variable"/>
  </w:font>
  <w:font w:name="Liberation Sans">
    <w:altName w:val="Arial"/>
    <w:charset w:val="01"/>
    <w:family w:val="roman"/>
    <w:pitch w:val="variable"/>
  </w:font>
  <w:font w:name="Arial">
    <w:charset w:val="01"/>
    <w:family w:val="roman"/>
    <w:pitch w:val="variable"/>
  </w:font>
  <w:font w:name="Liberation Mono">
    <w:altName w:val="Courier New"/>
    <w:charset w:val="01"/>
    <w:family w:val="roman"/>
    <w:pitch w:val="variable"/>
  </w:font>
</w:fonts>
</file>

<file path=word/settings.xml><?xml version="1.0" encoding="utf-8"?>
<w:settings xmlns:w="http://schemas.openxmlformats.org/wordprocessingml/2006/main">
  <w:zoom w:percent="100"/>
  <w:defaultTabStop w:val="709"/>
  <w:autoHyphenation w:val="fals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Droid Sans Fallback" w:cs="FreeSans"/>
        <w:szCs w:val="24"/>
        <w:lang w:val="ru-RU" w:eastAsia="zh-CN" w:bidi="hi-IN"/>
      </w:rPr>
    </w:rPrDefault>
    <w:pPrDefault>
      <w:pPr/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pPr>
      <w:widowControl/>
      <w:tabs>
        <w:tab w:val="clear" w:pos="709"/>
        <w:tab w:val="left" w:pos="708" w:leader="none"/>
      </w:tabs>
      <w:suppressAutoHyphens w:val="true"/>
      <w:bidi w:val="0"/>
      <w:jc w:val="left"/>
    </w:pPr>
    <w:rPr>
      <w:rFonts w:ascii="Times New Roman" w:hAnsi="Times New Roman" w:eastAsia="Calibri" w:cs="Times New Roman"/>
      <w:color w:val="000000"/>
      <w:kern w:val="0"/>
      <w:sz w:val="24"/>
      <w:szCs w:val="24"/>
      <w:lang w:val="ru-RU" w:eastAsia="ru-RU" w:bidi="ar-SA"/>
    </w:rPr>
  </w:style>
  <w:style w:type="paragraph" w:styleId="Heading1">
    <w:name w:val="Heading 1"/>
    <w:basedOn w:val="Normal"/>
    <w:qFormat/>
    <w:pPr>
      <w:widowControl w:val="false"/>
      <w:bidi w:val="0"/>
      <w:jc w:val="left"/>
      <w:outlineLvl w:val="0"/>
    </w:pPr>
    <w:rPr>
      <w:rFonts w:ascii="Liberation Serif" w:hAnsi="Liberation Serif" w:eastAsia="Droid Sans Fallback" w:cs="FreeSans"/>
      <w:color w:val="00000A"/>
      <w:kern w:val="0"/>
      <w:sz w:val="20"/>
      <w:szCs w:val="24"/>
      <w:lang w:val="ru-RU" w:eastAsia="zh-CN" w:bidi="hi-IN"/>
    </w:rPr>
  </w:style>
  <w:style w:type="paragraph" w:styleId="Heading2">
    <w:name w:val="Heading 2"/>
    <w:basedOn w:val="Normal"/>
    <w:qFormat/>
    <w:pPr>
      <w:widowControl w:val="false"/>
      <w:bidi w:val="0"/>
      <w:jc w:val="left"/>
      <w:outlineLvl w:val="1"/>
    </w:pPr>
    <w:rPr>
      <w:rFonts w:ascii="Liberation Serif" w:hAnsi="Liberation Serif" w:eastAsia="Droid Sans Fallback" w:cs="FreeSans"/>
      <w:color w:val="00000A"/>
      <w:kern w:val="0"/>
      <w:sz w:val="20"/>
      <w:szCs w:val="24"/>
      <w:lang w:val="ru-RU" w:eastAsia="zh-CN" w:bidi="hi-IN"/>
    </w:rPr>
  </w:style>
  <w:style w:type="paragraph" w:styleId="Heading3">
    <w:name w:val="Heading 3"/>
    <w:basedOn w:val="Normal"/>
    <w:qFormat/>
    <w:pPr>
      <w:widowControl w:val="false"/>
      <w:bidi w:val="0"/>
      <w:jc w:val="left"/>
      <w:outlineLvl w:val="2"/>
    </w:pPr>
    <w:rPr>
      <w:rFonts w:ascii="Liberation Serif" w:hAnsi="Liberation Serif" w:eastAsia="Droid Sans Fallback" w:cs="FreeSans"/>
      <w:color w:val="00000A"/>
      <w:kern w:val="0"/>
      <w:sz w:val="20"/>
      <w:szCs w:val="24"/>
      <w:lang w:val="ru-RU" w:eastAsia="zh-CN" w:bidi="hi-IN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1" w:customStyle="1">
    <w:name w:val="Основной текст_"/>
    <w:qFormat/>
    <w:rPr>
      <w:rFonts w:ascii="Times New Roman" w:hAnsi="Times New Roman" w:eastAsia="Times New Roman" w:cs="Times New Roman"/>
      <w:sz w:val="20"/>
      <w:szCs w:val="20"/>
      <w:shd w:fill="FFFFFF" w:val="clear"/>
    </w:rPr>
  </w:style>
  <w:style w:type="character" w:styleId="2" w:customStyle="1">
    <w:name w:val="Основной текст (2)_"/>
    <w:qFormat/>
    <w:rPr>
      <w:rFonts w:ascii="Times New Roman" w:hAnsi="Times New Roman" w:eastAsia="Times New Roman" w:cs="Times New Roman"/>
      <w:sz w:val="20"/>
      <w:szCs w:val="20"/>
      <w:shd w:fill="FFFFFF" w:val="clear"/>
    </w:rPr>
  </w:style>
  <w:style w:type="character" w:styleId="Style12" w:customStyle="1">
    <w:name w:val="Подпись к таблице"/>
    <w:qFormat/>
    <w:rPr>
      <w:rFonts w:ascii="Times New Roman" w:hAnsi="Times New Roman" w:eastAsia="Times New Roman" w:cs="Times New Roman"/>
      <w:b w:val="false"/>
      <w:bCs w:val="false"/>
      <w:i w:val="false"/>
      <w:iCs w:val="false"/>
      <w:caps w:val="false"/>
      <w:smallCaps w:val="false"/>
      <w:strike w:val="false"/>
      <w:dstrike w:val="false"/>
      <w:color w:val="000000"/>
      <w:spacing w:val="0"/>
      <w:w w:val="100"/>
      <w:position w:val="0"/>
      <w:sz w:val="20"/>
      <w:sz w:val="20"/>
      <w:szCs w:val="20"/>
      <w:u w:val="single"/>
      <w:vertAlign w:val="baseline"/>
      <w:lang w:val="ru-RU"/>
    </w:rPr>
  </w:style>
  <w:style w:type="character" w:styleId="1" w:customStyle="1">
    <w:name w:val="Основной текст1"/>
    <w:qFormat/>
    <w:rPr>
      <w:rFonts w:ascii="Times New Roman" w:hAnsi="Times New Roman" w:eastAsia="Times New Roman" w:cs="Times New Roman"/>
      <w:color w:val="000000"/>
      <w:spacing w:val="0"/>
      <w:w w:val="100"/>
      <w:position w:val="0"/>
      <w:sz w:val="20"/>
      <w:sz w:val="20"/>
      <w:szCs w:val="20"/>
      <w:shd w:fill="FFFFFF" w:val="clear"/>
      <w:vertAlign w:val="baseline"/>
      <w:lang w:val="ru-RU"/>
    </w:rPr>
  </w:style>
  <w:style w:type="character" w:styleId="21" w:customStyle="1">
    <w:name w:val="Подпись к таблице (2)_"/>
    <w:qFormat/>
    <w:rPr>
      <w:rFonts w:ascii="Times New Roman" w:hAnsi="Times New Roman" w:eastAsia="Times New Roman" w:cs="Times New Roman"/>
      <w:sz w:val="20"/>
      <w:szCs w:val="20"/>
      <w:shd w:fill="FFFFFF" w:val="clear"/>
    </w:rPr>
  </w:style>
  <w:style w:type="character" w:styleId="11" w:customStyle="1">
    <w:name w:val="Заголовок №1_"/>
    <w:qFormat/>
    <w:rPr>
      <w:rFonts w:ascii="Times New Roman" w:hAnsi="Times New Roman" w:eastAsia="Times New Roman" w:cs="Times New Roman"/>
      <w:sz w:val="20"/>
      <w:szCs w:val="20"/>
      <w:shd w:fill="FFFFFF" w:val="clear"/>
    </w:rPr>
  </w:style>
  <w:style w:type="character" w:styleId="Style13" w:customStyle="1">
    <w:name w:val="Основной текст + Полужирный"/>
    <w:qFormat/>
    <w:rPr>
      <w:rFonts w:ascii="Times New Roman" w:hAnsi="Times New Roman" w:eastAsia="Times New Roman" w:cs="Times New Roman"/>
      <w:color w:val="000000"/>
      <w:spacing w:val="0"/>
      <w:w w:val="100"/>
      <w:position w:val="0"/>
      <w:sz w:val="20"/>
      <w:sz w:val="20"/>
      <w:szCs w:val="20"/>
      <w:shd w:fill="FFFFFF" w:val="clear"/>
      <w:vertAlign w:val="baseline"/>
      <w:lang w:val="ru-RU"/>
    </w:rPr>
  </w:style>
  <w:style w:type="character" w:styleId="4" w:customStyle="1">
    <w:name w:val="Основной текст (4) + Не полужирный;Не курсив"/>
    <w:qFormat/>
    <w:rPr>
      <w:rFonts w:ascii="Times New Roman" w:hAnsi="Times New Roman" w:eastAsia="Times New Roman" w:cs="Times New Roman"/>
      <w:b/>
      <w:bCs/>
      <w:i/>
      <w:iCs/>
      <w:caps w:val="false"/>
      <w:smallCaps w:val="false"/>
      <w:strike w:val="false"/>
      <w:dstrike w:val="false"/>
      <w:color w:val="000000"/>
      <w:spacing w:val="0"/>
      <w:w w:val="100"/>
      <w:position w:val="0"/>
      <w:sz w:val="20"/>
      <w:sz w:val="20"/>
      <w:szCs w:val="20"/>
      <w:u w:val="none"/>
      <w:vertAlign w:val="baseline"/>
      <w:lang w:val="ru-RU"/>
    </w:rPr>
  </w:style>
  <w:style w:type="character" w:styleId="41" w:customStyle="1">
    <w:name w:val="Основной текст (4)_"/>
    <w:qFormat/>
    <w:rPr>
      <w:rFonts w:ascii="Times New Roman" w:hAnsi="Times New Roman" w:eastAsia="Times New Roman" w:cs="Times New Roman"/>
      <w:i/>
      <w:iCs/>
      <w:sz w:val="20"/>
      <w:szCs w:val="20"/>
      <w:shd w:fill="FFFFFF" w:val="clear"/>
    </w:rPr>
  </w:style>
  <w:style w:type="character" w:styleId="Style14" w:customStyle="1">
    <w:name w:val="Основной текст + Полужирный;Курсив"/>
    <w:qFormat/>
    <w:rPr>
      <w:rFonts w:ascii="Times New Roman" w:hAnsi="Times New Roman" w:eastAsia="Times New Roman" w:cs="Times New Roman"/>
      <w:i/>
      <w:iCs/>
      <w:caps w:val="false"/>
      <w:smallCaps w:val="false"/>
      <w:color w:val="000000"/>
      <w:spacing w:val="0"/>
      <w:w w:val="100"/>
      <w:position w:val="0"/>
      <w:sz w:val="20"/>
      <w:sz w:val="20"/>
      <w:szCs w:val="20"/>
      <w:shd w:fill="FFFFFF" w:val="clear"/>
      <w:vertAlign w:val="baseline"/>
      <w:lang w:val="ru-RU"/>
    </w:rPr>
  </w:style>
  <w:style w:type="character" w:styleId="5" w:customStyle="1">
    <w:name w:val="Основной текст (5)_"/>
    <w:qFormat/>
    <w:rPr>
      <w:rFonts w:ascii="Times New Roman" w:hAnsi="Times New Roman" w:eastAsia="Times New Roman" w:cs="Times New Roman"/>
      <w:sz w:val="16"/>
      <w:szCs w:val="16"/>
      <w:shd w:fill="FFFFFF" w:val="clear"/>
    </w:rPr>
  </w:style>
  <w:style w:type="character" w:styleId="Style15" w:customStyle="1">
    <w:name w:val="Интернет-ссылка"/>
    <w:basedOn w:val="DefaultParagraphFont"/>
    <w:qFormat/>
    <w:rPr>
      <w:color w:val="0000FF"/>
      <w:u w:val="single"/>
      <w:lang w:val="ru-RU" w:eastAsia="ru-RU" w:bidi="ru-RU"/>
    </w:rPr>
  </w:style>
  <w:style w:type="character" w:styleId="Annotationreference">
    <w:name w:val="annotation reference"/>
    <w:basedOn w:val="DefaultParagraphFont"/>
    <w:qFormat/>
    <w:rPr>
      <w:sz w:val="16"/>
      <w:szCs w:val="16"/>
    </w:rPr>
  </w:style>
  <w:style w:type="character" w:styleId="Style16" w:customStyle="1">
    <w:name w:val="Текст примечания Знак"/>
    <w:basedOn w:val="DefaultParagraphFont"/>
    <w:qFormat/>
    <w:rPr>
      <w:rFonts w:ascii="Courier New" w:hAnsi="Courier New" w:eastAsia="Courier New" w:cs="Courier New"/>
      <w:color w:val="000000"/>
    </w:rPr>
  </w:style>
  <w:style w:type="character" w:styleId="Style17" w:customStyle="1">
    <w:name w:val="Тема примечания Знак"/>
    <w:basedOn w:val="Style16"/>
    <w:qFormat/>
    <w:rPr>
      <w:rFonts w:ascii="Courier New" w:hAnsi="Courier New" w:eastAsia="Courier New" w:cs="Courier New"/>
      <w:b/>
      <w:bCs/>
      <w:color w:val="000000"/>
    </w:rPr>
  </w:style>
  <w:style w:type="character" w:styleId="Style18" w:customStyle="1">
    <w:name w:val="Текст выноски Знак"/>
    <w:basedOn w:val="DefaultParagraphFont"/>
    <w:qFormat/>
    <w:rPr>
      <w:rFonts w:ascii="Segoe UI" w:hAnsi="Segoe UI" w:eastAsia="Courier New" w:cs="Segoe UI"/>
      <w:color w:val="000000"/>
      <w:sz w:val="18"/>
      <w:szCs w:val="18"/>
    </w:rPr>
  </w:style>
  <w:style w:type="character" w:styleId="ListLabel2" w:customStyle="1">
    <w:name w:val="ListLabel 2"/>
    <w:qFormat/>
    <w:rPr>
      <w:rFonts w:cs="Symbol"/>
    </w:rPr>
  </w:style>
  <w:style w:type="character" w:styleId="ListLabel3" w:customStyle="1">
    <w:name w:val="ListLabel 3"/>
    <w:qFormat/>
    <w:rPr>
      <w:rFonts w:cs="Symbol"/>
    </w:rPr>
  </w:style>
  <w:style w:type="character" w:styleId="ListLabel4" w:customStyle="1">
    <w:name w:val="ListLabel 4"/>
    <w:qFormat/>
    <w:rPr>
      <w:rFonts w:cs="Symbol"/>
    </w:rPr>
  </w:style>
  <w:style w:type="character" w:styleId="ListLabel5" w:customStyle="1">
    <w:name w:val="ListLabel 5"/>
    <w:qFormat/>
    <w:rPr>
      <w:rFonts w:cs="Symbol"/>
    </w:rPr>
  </w:style>
  <w:style w:type="character" w:styleId="ListLabel6" w:customStyle="1">
    <w:name w:val="ListLabel 6"/>
    <w:qFormat/>
    <w:rPr>
      <w:rFonts w:cs="Symbol"/>
    </w:rPr>
  </w:style>
  <w:style w:type="character" w:styleId="ListLabel7" w:customStyle="1">
    <w:name w:val="ListLabel 7"/>
    <w:qFormat/>
    <w:rPr>
      <w:rFonts w:cs="Symbol"/>
    </w:rPr>
  </w:style>
  <w:style w:type="paragraph" w:styleId="Heading">
    <w:name w:val="Heading"/>
    <w:basedOn w:val="Normal"/>
    <w:next w:val="TextBody"/>
    <w:qFormat/>
    <w:pPr>
      <w:keepNext w:val="true"/>
      <w:spacing w:before="240" w:after="120"/>
    </w:pPr>
    <w:rPr>
      <w:rFonts w:ascii="Liberation Sans" w:hAnsi="Liberation Sans" w:eastAsia="Noto Sans CJK SC Regular" w:cs="Lohit Devanagari"/>
      <w:sz w:val="28"/>
      <w:szCs w:val="28"/>
    </w:rPr>
  </w:style>
  <w:style w:type="paragraph" w:styleId="TextBody" w:customStyle="1">
    <w:name w:val="Body Text"/>
    <w:basedOn w:val="Normal"/>
    <w:qFormat/>
    <w:pPr>
      <w:spacing w:lineRule="auto" w:line="288" w:before="0" w:after="140"/>
    </w:pPr>
    <w:rPr/>
  </w:style>
  <w:style w:type="paragraph" w:styleId="List">
    <w:name w:val="List"/>
    <w:basedOn w:val="TextBody"/>
    <w:qFormat/>
    <w:pPr/>
    <w:rPr>
      <w:rFonts w:cs="FreeSans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FreeSans"/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>
      <w:rFonts w:cs="Lohit Devanagari"/>
    </w:rPr>
  </w:style>
  <w:style w:type="paragraph" w:styleId="Style19" w:customStyle="1">
    <w:name w:val="Заголовок"/>
    <w:basedOn w:val="Normal"/>
    <w:qFormat/>
    <w:pPr>
      <w:keepNext w:val="true"/>
      <w:spacing w:before="240" w:after="120"/>
    </w:pPr>
    <w:rPr>
      <w:rFonts w:ascii="Arial" w:hAnsi="Arial" w:eastAsia="Droid Sans" w:cs="FreeSans"/>
      <w:sz w:val="28"/>
      <w:szCs w:val="28"/>
    </w:rPr>
  </w:style>
  <w:style w:type="paragraph" w:styleId="Style20" w:customStyle="1">
    <w:name w:val="Указатель"/>
    <w:basedOn w:val="Normal"/>
    <w:qFormat/>
    <w:pPr>
      <w:suppressLineNumbers/>
    </w:pPr>
    <w:rPr>
      <w:rFonts w:cs="FreeSans"/>
    </w:rPr>
  </w:style>
  <w:style w:type="paragraph" w:styleId="Caption1">
    <w:name w:val="caption"/>
    <w:basedOn w:val="Normal"/>
    <w:qFormat/>
    <w:pPr>
      <w:suppressLineNumbers/>
      <w:spacing w:before="120" w:after="120"/>
    </w:pPr>
    <w:rPr>
      <w:rFonts w:cs="FreeSans"/>
      <w:i/>
      <w:iCs/>
    </w:rPr>
  </w:style>
  <w:style w:type="paragraph" w:styleId="Title1" w:customStyle="1">
    <w:name w:val="Title1"/>
    <w:basedOn w:val="Normal"/>
    <w:qFormat/>
    <w:pPr>
      <w:suppressLineNumbers/>
      <w:spacing w:before="120" w:after="120"/>
      <w:jc w:val="center"/>
    </w:pPr>
    <w:rPr>
      <w:rFonts w:cs="FreeSans"/>
      <w:b/>
      <w:bCs/>
      <w:i/>
      <w:iCs/>
      <w:sz w:val="36"/>
      <w:szCs w:val="36"/>
    </w:rPr>
  </w:style>
  <w:style w:type="paragraph" w:styleId="Indexheading">
    <w:name w:val="index heading"/>
    <w:basedOn w:val="Normal"/>
    <w:qFormat/>
    <w:pPr>
      <w:suppressLineNumbers/>
    </w:pPr>
    <w:rPr>
      <w:rFonts w:cs="FreeSans"/>
    </w:rPr>
  </w:style>
  <w:style w:type="paragraph" w:styleId="Subtitle">
    <w:name w:val="Subtitle"/>
    <w:basedOn w:val="Style19"/>
    <w:qFormat/>
    <w:pPr>
      <w:jc w:val="center"/>
    </w:pPr>
    <w:rPr>
      <w:i/>
      <w:iCs/>
    </w:rPr>
  </w:style>
  <w:style w:type="paragraph" w:styleId="22" w:customStyle="1">
    <w:name w:val="Основной текст2"/>
    <w:basedOn w:val="Normal"/>
    <w:qFormat/>
    <w:pPr>
      <w:shd w:val="clear" w:fill="FFFFFF"/>
      <w:spacing w:lineRule="exact" w:line="250"/>
    </w:pPr>
    <w:rPr>
      <w:rFonts w:eastAsia="Times New Roman"/>
      <w:color w:val="00000A"/>
      <w:sz w:val="20"/>
      <w:szCs w:val="20"/>
      <w:lang w:val="en-US" w:eastAsia="en-US"/>
    </w:rPr>
  </w:style>
  <w:style w:type="paragraph" w:styleId="23" w:customStyle="1">
    <w:name w:val="Основной текст (2)"/>
    <w:basedOn w:val="Normal"/>
    <w:qFormat/>
    <w:pPr>
      <w:shd w:val="clear" w:fill="FFFFFF"/>
      <w:spacing w:lineRule="exact" w:line="490"/>
      <w:ind w:firstLine="560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styleId="24" w:customStyle="1">
    <w:name w:val="Подпись к таблице (2)"/>
    <w:basedOn w:val="Normal"/>
    <w:qFormat/>
    <w:pPr>
      <w:shd w:val="clear" w:fill="FFFFFF"/>
      <w:spacing w:lineRule="atLeast" w:line="100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styleId="12" w:customStyle="1">
    <w:name w:val="Заголовок №1"/>
    <w:basedOn w:val="Normal"/>
    <w:qFormat/>
    <w:pPr>
      <w:shd w:val="clear" w:fill="FFFFFF"/>
      <w:spacing w:lineRule="atLeast" w:line="100" w:before="180" w:after="120"/>
    </w:pPr>
    <w:rPr>
      <w:rFonts w:eastAsia="Times New Roman"/>
      <w:color w:val="00000A"/>
      <w:sz w:val="20"/>
      <w:szCs w:val="20"/>
      <w:lang w:val="en-US" w:eastAsia="en-US"/>
    </w:rPr>
  </w:style>
  <w:style w:type="paragraph" w:styleId="51" w:customStyle="1">
    <w:name w:val="Основной текст (5)"/>
    <w:basedOn w:val="Normal"/>
    <w:qFormat/>
    <w:pPr>
      <w:shd w:val="clear" w:fill="FFFFFF"/>
      <w:spacing w:lineRule="atLeast" w:line="100" w:before="480" w:after="60"/>
    </w:pPr>
    <w:rPr>
      <w:rFonts w:eastAsia="Times New Roman"/>
      <w:b/>
      <w:bCs/>
      <w:color w:val="00000A"/>
      <w:sz w:val="16"/>
      <w:szCs w:val="16"/>
      <w:lang w:val="en-US" w:eastAsia="en-US"/>
    </w:rPr>
  </w:style>
  <w:style w:type="paragraph" w:styleId="42" w:customStyle="1">
    <w:name w:val="Основной текст (4)"/>
    <w:basedOn w:val="Normal"/>
    <w:qFormat/>
    <w:pPr>
      <w:shd w:val="clear" w:fill="FFFFFF"/>
      <w:spacing w:lineRule="exact" w:line="288" w:before="60" w:after="360"/>
      <w:ind w:hanging="540"/>
    </w:pPr>
    <w:rPr>
      <w:rFonts w:eastAsia="Times New Roman"/>
      <w:b/>
      <w:bCs/>
      <w:i/>
      <w:iCs/>
      <w:color w:val="00000A"/>
      <w:sz w:val="20"/>
      <w:szCs w:val="20"/>
      <w:lang w:val="en-US" w:eastAsia="en-US"/>
    </w:rPr>
  </w:style>
  <w:style w:type="paragraph" w:styleId="ListParagraph">
    <w:name w:val="List Paragraph"/>
    <w:basedOn w:val="Normal"/>
    <w:qFormat/>
    <w:pPr>
      <w:ind w:left="720" w:hanging="0"/>
    </w:pPr>
    <w:rPr/>
  </w:style>
  <w:style w:type="paragraph" w:styleId="ConsPlusNormal" w:customStyle="1">
    <w:name w:val="ConsPlusNormal"/>
    <w:qFormat/>
    <w:pPr>
      <w:widowControl w:val="false"/>
      <w:tabs>
        <w:tab w:val="clear" w:pos="709"/>
        <w:tab w:val="left" w:pos="708" w:leader="none"/>
      </w:tabs>
      <w:suppressAutoHyphens w:val="true"/>
      <w:bidi w:val="0"/>
      <w:jc w:val="left"/>
    </w:pPr>
    <w:rPr>
      <w:rFonts w:ascii="Arial" w:hAnsi="Arial" w:eastAsia="Times New Roman" w:cs="Arial"/>
      <w:color w:val="00000A"/>
      <w:kern w:val="0"/>
      <w:sz w:val="24"/>
      <w:szCs w:val="20"/>
      <w:lang w:val="ru-RU" w:eastAsia="ru-RU" w:bidi="ar-SA"/>
    </w:rPr>
  </w:style>
  <w:style w:type="paragraph" w:styleId="Annotationtext">
    <w:name w:val="annotation text"/>
    <w:basedOn w:val="Normal"/>
    <w:qFormat/>
    <w:pPr/>
    <w:rPr>
      <w:sz w:val="20"/>
      <w:szCs w:val="20"/>
    </w:rPr>
  </w:style>
  <w:style w:type="paragraph" w:styleId="Annotationsubject">
    <w:name w:val="annotation subject"/>
    <w:basedOn w:val="Annotationtext"/>
    <w:qFormat/>
    <w:pPr/>
    <w:rPr>
      <w:b/>
      <w:bCs/>
    </w:rPr>
  </w:style>
  <w:style w:type="paragraph" w:styleId="BalloonText">
    <w:name w:val="Balloon Text"/>
    <w:basedOn w:val="Normal"/>
    <w:qFormat/>
    <w:pPr/>
    <w:rPr>
      <w:rFonts w:ascii="Segoe UI" w:hAnsi="Segoe UI" w:cs="Segoe UI"/>
      <w:sz w:val="18"/>
      <w:szCs w:val="18"/>
    </w:rPr>
  </w:style>
  <w:style w:type="paragraph" w:styleId="Style21" w:customStyle="1">
    <w:name w:val="Содержимое врезки"/>
    <w:basedOn w:val="TextBody"/>
    <w:qFormat/>
    <w:pPr/>
    <w:rPr/>
  </w:style>
  <w:style w:type="paragraph" w:styleId="Style22" w:customStyle="1">
    <w:name w:val="Содержимое таблицы"/>
    <w:basedOn w:val="Normal"/>
    <w:qFormat/>
    <w:pPr>
      <w:suppressLineNumbers/>
    </w:pPr>
    <w:rPr/>
  </w:style>
  <w:style w:type="paragraph" w:styleId="Style23" w:customStyle="1">
    <w:name w:val="Заголовок таблицы"/>
    <w:basedOn w:val="Style22"/>
    <w:qFormat/>
    <w:pPr>
      <w:jc w:val="center"/>
    </w:pPr>
    <w:rPr>
      <w:b/>
      <w:bCs/>
    </w:rPr>
  </w:style>
  <w:style w:type="paragraph" w:styleId="Style24" w:customStyle="1">
    <w:name w:val="Блочная цитата"/>
    <w:basedOn w:val="Normal"/>
    <w:qFormat/>
    <w:pPr/>
    <w:rPr/>
  </w:style>
  <w:style w:type="paragraph" w:styleId="Style25" w:customStyle="1">
    <w:name w:val="Текст в заданном формате"/>
    <w:basedOn w:val="Normal"/>
    <w:qFormat/>
    <w:pPr/>
    <w:rPr/>
  </w:style>
  <w:style w:type="paragraph" w:styleId="PreformattedText">
    <w:name w:val="Preformatted Text"/>
    <w:basedOn w:val="Normal"/>
    <w:qFormat/>
    <w:pPr>
      <w:spacing w:before="0" w:after="0"/>
    </w:pPr>
    <w:rPr>
      <w:rFonts w:ascii="Liberation Mono" w:hAnsi="Liberation Mono" w:eastAsia="DejaVu Sans Mono" w:cs="Liberation Mono"/>
      <w:sz w:val="20"/>
      <w:szCs w:val="20"/>
    </w:rPr>
  </w:style>
  <w:style w:type="paragraph" w:styleId="TableContents">
    <w:name w:val="Table Contents"/>
    <w:basedOn w:val="Normal"/>
    <w:qFormat/>
    <w:pPr>
      <w:suppressLineNumbers/>
    </w:pPr>
    <w:rPr/>
  </w:style>
  <w:style w:type="paragraph" w:styleId="TableHeading">
    <w:name w:val="Table Heading"/>
    <w:basedOn w:val="TableContents"/>
    <w:qFormat/>
    <w:pPr>
      <w:suppressLineNumbers/>
      <w:jc w:val="center"/>
    </w:pPr>
    <w:rPr>
      <w:b/>
      <w:bCs/>
    </w:rPr>
  </w:style>
  <w:style w:type="numbering" w:styleId="NoList" w:default="1">
    <w:name w:val="No List"/>
    <w:uiPriority w:val="99"/>
    <w:semiHidden/>
    <w:unhideWhenUsed/>
    <w:qFormat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<Relationship Id="rId4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2358</TotalTime>
  <Application>LibreOffice/6.1.5.2$Linux_X86_64 LibreOffice_project/10$Build-2</Application>
  <Pages>3</Pages>
  <Words>325</Words>
  <Characters>3018</Characters>
  <CharactersWithSpaces>3222</CharactersWithSpaces>
  <Paragraphs>125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2017-04-17T14:59:00Z</dcterms:created>
  <dc:creator>пкб</dc:creator>
  <dc:description/>
  <dc:language>ru</dc:language>
  <cp:lastModifiedBy/>
  <cp:lastPrinted>2013-03-14T14:16:00Z</cp:lastPrinted>
  <dcterms:modified xsi:type="dcterms:W3CDTF">2022-02-02T10:07:49Z</dcterms:modified>
  <cp:revision>89</cp:revision>
  <dc:subject/>
  <dc:title>Комиссия по мониторингу цен на товары, приобретаемые для нужд Государственного казенного учреждения здравоохранения города Москвы Психиатрической Клинической больницы № 4 им</dc:title>
</cp:coreProperties>
</file>